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CE225" w14:textId="77777777" w:rsidR="00033721" w:rsidRPr="00033721" w:rsidRDefault="00033721" w:rsidP="000337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721">
        <w:rPr>
          <w:rFonts w:ascii="Times New Roman" w:hAnsi="Times New Roman" w:cs="Times New Roman"/>
          <w:b/>
          <w:sz w:val="28"/>
          <w:szCs w:val="28"/>
        </w:rPr>
        <w:t xml:space="preserve">Отчет по реализации плана мероприятий по росту доходов, оптимизации расходов и совершенствованию долговой политики </w:t>
      </w:r>
    </w:p>
    <w:p w14:paraId="43FC6A9A" w14:textId="058998EC" w:rsidR="00033721" w:rsidRPr="00033721" w:rsidRDefault="00033721" w:rsidP="000337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721">
        <w:rPr>
          <w:rFonts w:ascii="Times New Roman" w:hAnsi="Times New Roman" w:cs="Times New Roman"/>
          <w:b/>
          <w:sz w:val="28"/>
          <w:szCs w:val="28"/>
        </w:rPr>
        <w:t>Вачского муниципального округа Нижегородской области на 2026 – 2028 годы</w:t>
      </w:r>
    </w:p>
    <w:p w14:paraId="45926286" w14:textId="44EECBA6" w:rsidR="00033721" w:rsidRPr="00033721" w:rsidRDefault="00033721" w:rsidP="000337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721">
        <w:rPr>
          <w:rFonts w:ascii="Times New Roman" w:hAnsi="Times New Roman" w:cs="Times New Roman"/>
          <w:b/>
          <w:sz w:val="28"/>
          <w:szCs w:val="28"/>
        </w:rPr>
        <w:t>по состоянию на 01.04.2026 года</w:t>
      </w:r>
    </w:p>
    <w:p w14:paraId="61DFFE78" w14:textId="21B191EA" w:rsidR="0011377A" w:rsidRPr="00883711" w:rsidRDefault="0011377A" w:rsidP="005A1A2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148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485"/>
        <w:gridCol w:w="1503"/>
        <w:gridCol w:w="1369"/>
        <w:gridCol w:w="1768"/>
        <w:gridCol w:w="3902"/>
      </w:tblGrid>
      <w:tr w:rsidR="00883711" w:rsidRPr="00883711" w14:paraId="2AD80030" w14:textId="77777777" w:rsidTr="00033721">
        <w:trPr>
          <w:trHeight w:val="420"/>
        </w:trPr>
        <w:tc>
          <w:tcPr>
            <w:tcW w:w="456" w:type="dxa"/>
            <w:vMerge w:val="restart"/>
            <w:shd w:val="clear" w:color="auto" w:fill="auto"/>
            <w:vAlign w:val="center"/>
            <w:hideMark/>
          </w:tcPr>
          <w:p w14:paraId="74240127" w14:textId="77777777" w:rsidR="00405C2F" w:rsidRPr="00883711" w:rsidRDefault="00405C2F" w:rsidP="0040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485" w:type="dxa"/>
            <w:vMerge w:val="restart"/>
            <w:shd w:val="clear" w:color="auto" w:fill="auto"/>
            <w:vAlign w:val="center"/>
            <w:hideMark/>
          </w:tcPr>
          <w:p w14:paraId="244D17DA" w14:textId="77777777" w:rsidR="00405C2F" w:rsidRPr="00883711" w:rsidRDefault="00405C2F" w:rsidP="0040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мероприятий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  <w:hideMark/>
          </w:tcPr>
          <w:p w14:paraId="3C98C237" w14:textId="77777777" w:rsidR="00405C2F" w:rsidRPr="00883711" w:rsidRDefault="00405C2F" w:rsidP="0040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  <w:hideMark/>
          </w:tcPr>
          <w:p w14:paraId="4B5F7E6A" w14:textId="77777777" w:rsidR="00405C2F" w:rsidRPr="00883711" w:rsidRDefault="00405C2F" w:rsidP="0040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768" w:type="dxa"/>
            <w:vMerge w:val="restart"/>
            <w:shd w:val="clear" w:color="auto" w:fill="auto"/>
            <w:vAlign w:val="center"/>
            <w:hideMark/>
          </w:tcPr>
          <w:p w14:paraId="29817875" w14:textId="77777777" w:rsidR="00405C2F" w:rsidRPr="00883711" w:rsidRDefault="00405C2F" w:rsidP="0040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Целевой показатель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66F6F313" w14:textId="77777777" w:rsidR="00405C2F" w:rsidRPr="00883711" w:rsidRDefault="00405C2F" w:rsidP="0040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Значение целевого показателя</w:t>
            </w:r>
          </w:p>
        </w:tc>
      </w:tr>
      <w:tr w:rsidR="00033721" w:rsidRPr="00883711" w14:paraId="08CBE167" w14:textId="77777777" w:rsidTr="00033721">
        <w:trPr>
          <w:trHeight w:val="225"/>
        </w:trPr>
        <w:tc>
          <w:tcPr>
            <w:tcW w:w="456" w:type="dxa"/>
            <w:vMerge/>
            <w:vAlign w:val="center"/>
            <w:hideMark/>
          </w:tcPr>
          <w:p w14:paraId="3B8BF493" w14:textId="77777777" w:rsidR="00033721" w:rsidRPr="00883711" w:rsidRDefault="00033721" w:rsidP="00405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85" w:type="dxa"/>
            <w:vMerge/>
            <w:vAlign w:val="center"/>
            <w:hideMark/>
          </w:tcPr>
          <w:p w14:paraId="03327BA8" w14:textId="77777777" w:rsidR="00033721" w:rsidRPr="00883711" w:rsidRDefault="00033721" w:rsidP="00405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42BE7DC0" w14:textId="77777777" w:rsidR="00033721" w:rsidRPr="00883711" w:rsidRDefault="00033721" w:rsidP="00405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14:paraId="20EAFE8E" w14:textId="77777777" w:rsidR="00033721" w:rsidRPr="00883711" w:rsidRDefault="00033721" w:rsidP="00405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8" w:type="dxa"/>
            <w:vMerge/>
            <w:vAlign w:val="center"/>
            <w:hideMark/>
          </w:tcPr>
          <w:p w14:paraId="723442DB" w14:textId="77777777" w:rsidR="00033721" w:rsidRPr="00883711" w:rsidRDefault="00033721" w:rsidP="00405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13644586" w14:textId="08A6A795" w:rsidR="00033721" w:rsidRPr="00883711" w:rsidRDefault="00033721" w:rsidP="00C0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 01.04.</w:t>
            </w: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 год</w:t>
            </w:r>
          </w:p>
        </w:tc>
      </w:tr>
      <w:tr w:rsidR="00883711" w:rsidRPr="00883711" w14:paraId="6C4E1540" w14:textId="77777777" w:rsidTr="00033721">
        <w:trPr>
          <w:trHeight w:val="225"/>
        </w:trPr>
        <w:tc>
          <w:tcPr>
            <w:tcW w:w="11483" w:type="dxa"/>
            <w:gridSpan w:val="6"/>
            <w:shd w:val="clear" w:color="auto" w:fill="auto"/>
            <w:vAlign w:val="center"/>
            <w:hideMark/>
          </w:tcPr>
          <w:p w14:paraId="1092D6FB" w14:textId="77777777" w:rsidR="00405C2F" w:rsidRPr="00883711" w:rsidRDefault="00405C2F" w:rsidP="0040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I.                   Мероприятия по росту налоговых и неналоговых доходов </w:t>
            </w:r>
          </w:p>
        </w:tc>
      </w:tr>
      <w:tr w:rsidR="00883711" w:rsidRPr="00883711" w14:paraId="253C3B18" w14:textId="77777777" w:rsidTr="00033721">
        <w:trPr>
          <w:trHeight w:val="225"/>
        </w:trPr>
        <w:tc>
          <w:tcPr>
            <w:tcW w:w="11483" w:type="dxa"/>
            <w:gridSpan w:val="6"/>
            <w:shd w:val="clear" w:color="auto" w:fill="auto"/>
            <w:vAlign w:val="center"/>
            <w:hideMark/>
          </w:tcPr>
          <w:p w14:paraId="0A922FB0" w14:textId="77777777" w:rsidR="00405C2F" w:rsidRPr="00883711" w:rsidRDefault="00405C2F" w:rsidP="00405C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 Увеличение доходов от экономической деятельности</w:t>
            </w:r>
          </w:p>
        </w:tc>
      </w:tr>
      <w:tr w:rsidR="00033721" w:rsidRPr="00883711" w14:paraId="4C5279A5" w14:textId="77777777" w:rsidTr="00033721">
        <w:trPr>
          <w:trHeight w:val="1781"/>
        </w:trPr>
        <w:tc>
          <w:tcPr>
            <w:tcW w:w="456" w:type="dxa"/>
            <w:shd w:val="clear" w:color="auto" w:fill="auto"/>
            <w:vAlign w:val="center"/>
            <w:hideMark/>
          </w:tcPr>
          <w:p w14:paraId="12B3DE7D" w14:textId="77777777" w:rsidR="00033721" w:rsidRPr="00883711" w:rsidRDefault="00033721" w:rsidP="0040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196B21ED" w14:textId="77777777" w:rsidR="00033721" w:rsidRPr="00883711" w:rsidRDefault="00033721" w:rsidP="00405C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мониторинга основных экономических показателей предприятий, расположенных на территории округа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3E0143A2" w14:textId="2FEE629F" w:rsidR="00033721" w:rsidRPr="00883711" w:rsidRDefault="00033721" w:rsidP="00C0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  <w:hideMark/>
          </w:tcPr>
          <w:p w14:paraId="518C8314" w14:textId="77777777" w:rsidR="00033721" w:rsidRPr="00883711" w:rsidRDefault="00033721" w:rsidP="0040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экономики администрации Вачского муниципального округа Нижегородской области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168D7F51" w14:textId="77777777" w:rsidR="00033721" w:rsidRPr="00883711" w:rsidRDefault="00033721" w:rsidP="00EE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 финансово-экономической деятельностью предприятий (млн. рублей/рублей)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01341A0F" w14:textId="1866E938" w:rsidR="001D5D65" w:rsidRPr="00A92824" w:rsidRDefault="001D5D65" w:rsidP="001D5D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8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итогам </w:t>
            </w:r>
            <w:r w:rsidRPr="00A928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 w:rsidRPr="00A928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квартала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A928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года по предварительным данным мониторинг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A928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основных экономических показателей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14:paraId="73948F42" w14:textId="4233D03E" w:rsidR="00033721" w:rsidRDefault="00672485" w:rsidP="006724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объем отгруженной продукции составил 1</w:t>
            </w:r>
            <w:r w:rsidR="001D5D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113,7 млн. руб. или 90,1% к уровню 2025 года;</w:t>
            </w:r>
          </w:p>
          <w:p w14:paraId="75D91DE5" w14:textId="77777777" w:rsidR="00672485" w:rsidRDefault="00672485" w:rsidP="006724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фонд оплаты труда 432,2 млн. руб. или 113,6% к уровню 2025 года;</w:t>
            </w:r>
          </w:p>
          <w:p w14:paraId="71D787F1" w14:textId="58C8AC92" w:rsidR="00672485" w:rsidRDefault="00672485" w:rsidP="006724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средняя численность работников 2</w:t>
            </w:r>
            <w:r w:rsidR="001D5D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899,5 чел. или 100,6% к уровню 2025 года;</w:t>
            </w:r>
          </w:p>
          <w:p w14:paraId="0E4A1D4B" w14:textId="259132E9" w:rsidR="00672485" w:rsidRPr="00883711" w:rsidRDefault="00672485" w:rsidP="006724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средняя заработная плата 50</w:t>
            </w:r>
            <w:r w:rsidR="001D5D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029,32 рубля или 112,9% к уровню 2025 года.</w:t>
            </w:r>
          </w:p>
        </w:tc>
      </w:tr>
      <w:tr w:rsidR="00033721" w:rsidRPr="00883711" w14:paraId="7D80CF87" w14:textId="77777777" w:rsidTr="00033721">
        <w:trPr>
          <w:trHeight w:val="701"/>
        </w:trPr>
        <w:tc>
          <w:tcPr>
            <w:tcW w:w="456" w:type="dxa"/>
            <w:shd w:val="clear" w:color="auto" w:fill="auto"/>
            <w:vAlign w:val="center"/>
            <w:hideMark/>
          </w:tcPr>
          <w:p w14:paraId="1311A003" w14:textId="77777777" w:rsidR="00033721" w:rsidRPr="00883711" w:rsidRDefault="00033721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26344A3D" w14:textId="77777777" w:rsidR="00033721" w:rsidRPr="00883711" w:rsidRDefault="00033721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новых инвестиционных проектов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3F10D403" w14:textId="1FEA9A17" w:rsidR="00033721" w:rsidRPr="00883711" w:rsidRDefault="00033721" w:rsidP="00C0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2026-2028 годов</w:t>
            </w:r>
          </w:p>
        </w:tc>
        <w:tc>
          <w:tcPr>
            <w:tcW w:w="1369" w:type="dxa"/>
            <w:vMerge/>
            <w:vAlign w:val="center"/>
            <w:hideMark/>
          </w:tcPr>
          <w:p w14:paraId="03A2465E" w14:textId="77777777" w:rsidR="00033721" w:rsidRPr="00883711" w:rsidRDefault="00033721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3723E5F" w14:textId="77777777" w:rsidR="00033721" w:rsidRPr="00883711" w:rsidRDefault="00033721" w:rsidP="00EE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НДФЛ за счет создания новых рабочих мест (млн. рублей)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4507A14D" w14:textId="77777777" w:rsidR="00033721" w:rsidRDefault="00172170" w:rsidP="0017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отчетном периоде продолжается реализация успешно начатых в 2025 году инвестиционных проектов:</w:t>
            </w:r>
          </w:p>
          <w:p w14:paraId="75480FCD" w14:textId="3E4A0CD5" w:rsidR="00172170" w:rsidRDefault="00172170" w:rsidP="0017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производств Сидра (ООО </w:t>
            </w:r>
            <w:r w:rsidR="001D5D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«Чулковский сидр»)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создано 13 рабочих мест;</w:t>
            </w:r>
          </w:p>
          <w:p w14:paraId="21B4AA33" w14:textId="2CF54199" w:rsidR="00172170" w:rsidRDefault="007C706A" w:rsidP="001721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="001721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производство топоров (ООО «ПКФ «Топар») </w:t>
            </w:r>
            <w:r w:rsidR="001D5D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создано </w:t>
            </w:r>
            <w:r w:rsidR="001721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рабочих места;</w:t>
            </w:r>
          </w:p>
          <w:p w14:paraId="249183FA" w14:textId="1E35D1FA" w:rsidR="00172170" w:rsidRPr="00883711" w:rsidRDefault="007C706A" w:rsidP="001D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="001721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н</w:t>
            </w:r>
            <w:r w:rsidR="001D5D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ового цеха (ООО «АгроимпексОка) создание </w:t>
            </w:r>
            <w:r w:rsidR="001721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рабочих мест.</w:t>
            </w:r>
          </w:p>
        </w:tc>
      </w:tr>
      <w:tr w:rsidR="00033721" w:rsidRPr="00883711" w14:paraId="23BCDA14" w14:textId="77777777" w:rsidTr="00033721">
        <w:trPr>
          <w:trHeight w:val="1392"/>
        </w:trPr>
        <w:tc>
          <w:tcPr>
            <w:tcW w:w="456" w:type="dxa"/>
            <w:shd w:val="clear" w:color="auto" w:fill="auto"/>
            <w:vAlign w:val="center"/>
          </w:tcPr>
          <w:p w14:paraId="46EEAD31" w14:textId="5B9CE2FB" w:rsidR="00033721" w:rsidRPr="00883711" w:rsidRDefault="00033721" w:rsidP="006B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D770ACA" w14:textId="7D6CA46E" w:rsidR="00033721" w:rsidRPr="00883711" w:rsidRDefault="00033721" w:rsidP="006B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заседаний комиссии по повышению заработной платы и ликвидации теневой заработной платы, а также погашению недоимки по налога с руководителями предприятий округа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6AE5C6FD" w14:textId="1196FD5E" w:rsidR="00033721" w:rsidRPr="00883711" w:rsidRDefault="00033721" w:rsidP="006B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2026-2028 годов</w:t>
            </w:r>
          </w:p>
        </w:tc>
        <w:tc>
          <w:tcPr>
            <w:tcW w:w="1369" w:type="dxa"/>
            <w:vMerge/>
            <w:vAlign w:val="center"/>
          </w:tcPr>
          <w:p w14:paraId="0C0FCF6D" w14:textId="77777777" w:rsidR="00033721" w:rsidRPr="00883711" w:rsidRDefault="00033721" w:rsidP="006B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55953148" w14:textId="6201DC73" w:rsidR="00033721" w:rsidRPr="00883711" w:rsidRDefault="00033721" w:rsidP="006B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средней заработной платы ( %)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25C222C6" w14:textId="5DC8C577" w:rsidR="00033721" w:rsidRPr="00883711" w:rsidRDefault="00172170" w:rsidP="00C90D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Проведено 3 заседания рабочей группы с руководителями 5 предприятий. </w:t>
            </w:r>
            <w:r w:rsidR="00C90D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Выявлено нарушение по выплате заработной платы на одном предприятии по причине неуплаты заказчиком оказанных услуг.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Заработная плата </w:t>
            </w:r>
            <w:r w:rsidR="00C90D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остальным предприятиям выплачивалась равной или выше МРОТ. На 01.04.2026 года средняя заработная плата по полному кругу предприятий увеличилась на 12,9% к соответствующему периоду прошлого года. Проведено три заседания рабочей группы по погашению задолженности в бюджет.</w:t>
            </w:r>
          </w:p>
        </w:tc>
      </w:tr>
      <w:tr w:rsidR="00033721" w:rsidRPr="00883711" w14:paraId="475D4FF7" w14:textId="77777777" w:rsidTr="00033721">
        <w:trPr>
          <w:trHeight w:val="1665"/>
        </w:trPr>
        <w:tc>
          <w:tcPr>
            <w:tcW w:w="456" w:type="dxa"/>
            <w:shd w:val="clear" w:color="auto" w:fill="auto"/>
            <w:vAlign w:val="center"/>
            <w:hideMark/>
          </w:tcPr>
          <w:p w14:paraId="3556265B" w14:textId="7111984B" w:rsidR="00033721" w:rsidRPr="00883711" w:rsidRDefault="00033721" w:rsidP="006B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450A455A" w14:textId="77777777" w:rsidR="00033721" w:rsidRPr="00883711" w:rsidRDefault="00033721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работы с предприятиями, которые зарегистрированы в других муниципальных образованиях, области, по перечислению ими налога на доходы физических лиц в бюджет округа, т.е. по месту осуществления деятельности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361374CC" w14:textId="01B1D9E7" w:rsidR="00033721" w:rsidRPr="00883711" w:rsidRDefault="00033721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369" w:type="dxa"/>
            <w:vMerge/>
            <w:vAlign w:val="center"/>
            <w:hideMark/>
          </w:tcPr>
          <w:p w14:paraId="23748D8E" w14:textId="77777777" w:rsidR="00033721" w:rsidRPr="00883711" w:rsidRDefault="00033721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9673316" w14:textId="77777777" w:rsidR="00033721" w:rsidRPr="00883711" w:rsidRDefault="00033721" w:rsidP="00EE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Увеличения поступления НДФЛ (тыс. рублей)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642DAD46" w14:textId="118953BC" w:rsidR="00033721" w:rsidRPr="00883711" w:rsidRDefault="00C90DFE" w:rsidP="00C90D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Проведена работа с ООО «А52» зарегистрированным в Сосновском муниципальном округе, но осуществляющим свою деятельность на территории Вачского муниципального округа.</w:t>
            </w:r>
          </w:p>
        </w:tc>
      </w:tr>
      <w:tr w:rsidR="00883711" w:rsidRPr="00883711" w14:paraId="3D833C07" w14:textId="77777777" w:rsidTr="00033721">
        <w:trPr>
          <w:trHeight w:val="356"/>
        </w:trPr>
        <w:tc>
          <w:tcPr>
            <w:tcW w:w="11483" w:type="dxa"/>
            <w:gridSpan w:val="6"/>
            <w:shd w:val="clear" w:color="auto" w:fill="auto"/>
            <w:vAlign w:val="center"/>
            <w:hideMark/>
          </w:tcPr>
          <w:p w14:paraId="5BE00DEE" w14:textId="77777777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 Увеличение доходов от земельно-имущественного комплекса</w:t>
            </w:r>
          </w:p>
        </w:tc>
      </w:tr>
      <w:tr w:rsidR="00033721" w:rsidRPr="00883711" w14:paraId="52168177" w14:textId="77777777" w:rsidTr="001D5D65">
        <w:trPr>
          <w:trHeight w:val="635"/>
        </w:trPr>
        <w:tc>
          <w:tcPr>
            <w:tcW w:w="456" w:type="dxa"/>
            <w:shd w:val="clear" w:color="auto" w:fill="auto"/>
            <w:vAlign w:val="center"/>
            <w:hideMark/>
          </w:tcPr>
          <w:p w14:paraId="6EA2A6D7" w14:textId="77777777" w:rsidR="00033721" w:rsidRPr="00883711" w:rsidRDefault="00033721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70E77F30" w14:textId="77777777" w:rsidR="00033721" w:rsidRPr="00883711" w:rsidRDefault="00033721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в полном объеме прогнозного плана приватизации муниципального имущества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7C0742A7" w14:textId="4C8C258C" w:rsidR="00033721" w:rsidRPr="00883711" w:rsidRDefault="00033721" w:rsidP="008E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2026-2028 годов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  <w:hideMark/>
          </w:tcPr>
          <w:p w14:paraId="3D95085D" w14:textId="77777777" w:rsidR="00033721" w:rsidRPr="00883711" w:rsidRDefault="00033721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управлению муниципальным имуществом администрации Вачского муниципального округа Нижегородской области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196EAFD4" w14:textId="77777777" w:rsidR="00033721" w:rsidRPr="00883711" w:rsidRDefault="00033721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проданных объектов недвижимости (ед.)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67D42EDB" w14:textId="1E3FFDD6" w:rsidR="00033721" w:rsidRPr="00883711" w:rsidRDefault="007C706A" w:rsidP="007C7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план приватизации муниципального имущества включено 6 объектов. За отчетный период продаж не было.</w:t>
            </w:r>
          </w:p>
        </w:tc>
      </w:tr>
      <w:tr w:rsidR="00033721" w:rsidRPr="00883711" w14:paraId="5569FA41" w14:textId="77777777" w:rsidTr="001D5D65">
        <w:trPr>
          <w:trHeight w:val="844"/>
        </w:trPr>
        <w:tc>
          <w:tcPr>
            <w:tcW w:w="456" w:type="dxa"/>
            <w:shd w:val="clear" w:color="auto" w:fill="auto"/>
            <w:vAlign w:val="center"/>
            <w:hideMark/>
          </w:tcPr>
          <w:p w14:paraId="4471A060" w14:textId="77777777" w:rsidR="00033721" w:rsidRPr="00883711" w:rsidRDefault="00033721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56225D2A" w14:textId="277342B3" w:rsidR="00033721" w:rsidRPr="00883711" w:rsidRDefault="00033721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претензионно- исковой работы по взысканию задолженности по аренде муниципального имущества и земельных участков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7F5CE95F" w14:textId="28497571" w:rsidR="00033721" w:rsidRPr="00883711" w:rsidRDefault="00033721" w:rsidP="008E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2026-2028 годов</w:t>
            </w:r>
          </w:p>
        </w:tc>
        <w:tc>
          <w:tcPr>
            <w:tcW w:w="1369" w:type="dxa"/>
            <w:vMerge/>
            <w:vAlign w:val="center"/>
            <w:hideMark/>
          </w:tcPr>
          <w:p w14:paraId="2A71EEE7" w14:textId="77777777" w:rsidR="00033721" w:rsidRPr="00883711" w:rsidRDefault="00033721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FE6E477" w14:textId="77777777" w:rsidR="00033721" w:rsidRPr="00883711" w:rsidRDefault="00033721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направленных претензий, исковых заявлений (ед.)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656456FC" w14:textId="44D9BD03" w:rsidR="00033721" w:rsidRPr="00883711" w:rsidRDefault="007C706A" w:rsidP="007C7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Направлено 32 претензии по взысканию задолженности по аренде муниципального имущества и земельных участков.</w:t>
            </w:r>
          </w:p>
        </w:tc>
      </w:tr>
      <w:tr w:rsidR="00033721" w:rsidRPr="00883711" w14:paraId="587FDAE8" w14:textId="77777777" w:rsidTr="001D5D65">
        <w:trPr>
          <w:trHeight w:val="615"/>
        </w:trPr>
        <w:tc>
          <w:tcPr>
            <w:tcW w:w="456" w:type="dxa"/>
            <w:shd w:val="clear" w:color="auto" w:fill="auto"/>
            <w:vAlign w:val="center"/>
            <w:hideMark/>
          </w:tcPr>
          <w:p w14:paraId="5DB2815A" w14:textId="77777777" w:rsidR="00033721" w:rsidRPr="00883711" w:rsidRDefault="00033721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24194F8F" w14:textId="77777777" w:rsidR="00033721" w:rsidRPr="00883711" w:rsidRDefault="00033721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Вовлечение ранее учтенного  недвижимого имущества в налоговый оборот (518-ФЗ)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7A0DF012" w14:textId="07711081" w:rsidR="00033721" w:rsidRPr="00883711" w:rsidRDefault="00033721" w:rsidP="008E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2026-2028 годов</w:t>
            </w:r>
          </w:p>
        </w:tc>
        <w:tc>
          <w:tcPr>
            <w:tcW w:w="1369" w:type="dxa"/>
            <w:vMerge/>
            <w:vAlign w:val="center"/>
            <w:hideMark/>
          </w:tcPr>
          <w:p w14:paraId="03BFDB8D" w14:textId="77777777" w:rsidR="00033721" w:rsidRPr="00883711" w:rsidRDefault="00033721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256712F" w14:textId="77777777" w:rsidR="00033721" w:rsidRPr="00883711" w:rsidRDefault="00033721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зарегистрированных объектов недвижимости (ед.)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71F82A68" w14:textId="78FBC54C" w:rsidR="00033721" w:rsidRPr="00883711" w:rsidRDefault="007C706A" w:rsidP="007C7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Зарегистрировано 6 объектов </w:t>
            </w:r>
            <w:r w:rsidR="001D5D65"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ранее учтенного  недвижимого имущества в налоговый оборот</w:t>
            </w:r>
            <w:r w:rsidR="001D5D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033721" w:rsidRPr="00883711" w14:paraId="581EAD10" w14:textId="77777777" w:rsidTr="001D5D65">
        <w:trPr>
          <w:trHeight w:val="583"/>
        </w:trPr>
        <w:tc>
          <w:tcPr>
            <w:tcW w:w="456" w:type="dxa"/>
            <w:shd w:val="clear" w:color="auto" w:fill="auto"/>
            <w:vAlign w:val="center"/>
            <w:hideMark/>
          </w:tcPr>
          <w:p w14:paraId="3BFDCB53" w14:textId="77777777" w:rsidR="00033721" w:rsidRPr="00883711" w:rsidRDefault="00033721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126E0F37" w14:textId="54199911" w:rsidR="00033721" w:rsidRPr="00883711" w:rsidRDefault="00033721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претензионно- исковой работы по взысканию задолженности по найму жилых помещений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234A5F37" w14:textId="7A177587" w:rsidR="00033721" w:rsidRPr="00883711" w:rsidRDefault="00033721" w:rsidP="008E7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2026-2028 годов</w:t>
            </w:r>
          </w:p>
        </w:tc>
        <w:tc>
          <w:tcPr>
            <w:tcW w:w="1369" w:type="dxa"/>
            <w:vMerge/>
            <w:vAlign w:val="center"/>
            <w:hideMark/>
          </w:tcPr>
          <w:p w14:paraId="7733773A" w14:textId="77777777" w:rsidR="00033721" w:rsidRPr="00883711" w:rsidRDefault="00033721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C71D965" w14:textId="5912C86D" w:rsidR="00033721" w:rsidRPr="00883711" w:rsidRDefault="00033721" w:rsidP="00F436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направленных претензий, исковых заявлений (ед.)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49D6FFC3" w14:textId="1FFDED4C" w:rsidR="00033721" w:rsidRPr="00883711" w:rsidRDefault="007C706A" w:rsidP="007C70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Направлено 10 претензий по взысканию задолженности по найму жилых помещений.</w:t>
            </w:r>
          </w:p>
        </w:tc>
      </w:tr>
    </w:tbl>
    <w:p w14:paraId="39AAE4AC" w14:textId="77777777" w:rsidR="001D5D65" w:rsidRDefault="001D5D65">
      <w:r>
        <w:br w:type="page"/>
      </w:r>
    </w:p>
    <w:tbl>
      <w:tblPr>
        <w:tblW w:w="1148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485"/>
        <w:gridCol w:w="1503"/>
        <w:gridCol w:w="1369"/>
        <w:gridCol w:w="1768"/>
        <w:gridCol w:w="3902"/>
      </w:tblGrid>
      <w:tr w:rsidR="00883711" w:rsidRPr="00883711" w14:paraId="1B431711" w14:textId="77777777" w:rsidTr="00033721">
        <w:trPr>
          <w:trHeight w:val="271"/>
        </w:trPr>
        <w:tc>
          <w:tcPr>
            <w:tcW w:w="11483" w:type="dxa"/>
            <w:gridSpan w:val="6"/>
            <w:shd w:val="clear" w:color="auto" w:fill="auto"/>
            <w:vAlign w:val="center"/>
            <w:hideMark/>
          </w:tcPr>
          <w:p w14:paraId="2BE214C2" w14:textId="6D037BA2" w:rsidR="00214B36" w:rsidRPr="00883711" w:rsidRDefault="00214B36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3. Повышение качества администрирования доходов бюджета</w:t>
            </w:r>
          </w:p>
        </w:tc>
      </w:tr>
      <w:tr w:rsidR="001D5D65" w:rsidRPr="00883711" w14:paraId="0ACC2838" w14:textId="77777777" w:rsidTr="00033721">
        <w:trPr>
          <w:trHeight w:val="1494"/>
        </w:trPr>
        <w:tc>
          <w:tcPr>
            <w:tcW w:w="456" w:type="dxa"/>
            <w:shd w:val="clear" w:color="auto" w:fill="auto"/>
            <w:vAlign w:val="center"/>
            <w:hideMark/>
          </w:tcPr>
          <w:p w14:paraId="77D8B0AD" w14:textId="77777777" w:rsidR="001D5D65" w:rsidRPr="00883711" w:rsidRDefault="001D5D65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4EFEE451" w14:textId="77777777" w:rsidR="001D5D65" w:rsidRPr="00883711" w:rsidRDefault="001D5D65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Координация работы главных администраторов доходов бюджета по контролю за полным и своевременным поступлением налоговых и неналоговых доходов в бюджет 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2389E0DA" w14:textId="237987CB" w:rsidR="001D5D65" w:rsidRPr="00883711" w:rsidRDefault="001D5D65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7B83D479" w14:textId="7B83533B" w:rsidR="001D5D65" w:rsidRPr="00883711" w:rsidRDefault="001D5D65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финансов администрации Вачского муниципального округа Нижегородской области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B7B1887" w14:textId="77777777" w:rsidR="001D5D65" w:rsidRPr="00883711" w:rsidRDefault="001D5D65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первоначального плана по администрируемым доходам (%)</w:t>
            </w: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14:paraId="7FD6ABBF" w14:textId="2FDCDAA1" w:rsidR="001D5D65" w:rsidRDefault="001D5D65" w:rsidP="00C90D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плана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квартала 2026 года по налоговым и неналоговым доходам составило 91,2%, по основным администраторам доходов бюджета:</w:t>
            </w:r>
          </w:p>
          <w:p w14:paraId="6F08B7E0" w14:textId="1CE89E8F" w:rsidR="001D5D65" w:rsidRDefault="001D5D65" w:rsidP="00C90D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Управление Федеральной налоговой службы по Нижегородской области 90,2%;</w:t>
            </w:r>
          </w:p>
          <w:p w14:paraId="23179510" w14:textId="4817F68B" w:rsidR="001D5D65" w:rsidRDefault="001D5D65" w:rsidP="00C90DF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Pr="00E650F7">
              <w:rPr>
                <w:rFonts w:ascii="Times New Roman" w:hAnsi="Times New Roman" w:cs="Times New Roman"/>
                <w:bCs/>
                <w:sz w:val="16"/>
                <w:szCs w:val="16"/>
              </w:rPr>
              <w:t>Управление по обеспечению деятельности мировых судей, адвокатуры и нотариата Нижегородской области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61,0%;</w:t>
            </w:r>
          </w:p>
          <w:p w14:paraId="5A59FDA6" w14:textId="0D6011B4" w:rsidR="001D5D65" w:rsidRPr="00E650F7" w:rsidRDefault="001D5D65" w:rsidP="00C90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- </w:t>
            </w:r>
            <w:r w:rsidRPr="00E650F7">
              <w:rPr>
                <w:rFonts w:ascii="Times New Roman" w:hAnsi="Times New Roman" w:cs="Times New Roman"/>
                <w:bCs/>
                <w:sz w:val="16"/>
                <w:szCs w:val="16"/>
              </w:rPr>
              <w:t>Комитет по управлению муниципальным имуществом администрации Вачского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113,0%.</w:t>
            </w:r>
          </w:p>
          <w:p w14:paraId="3B356764" w14:textId="1B783EAA" w:rsidR="001D5D65" w:rsidRPr="00883711" w:rsidRDefault="001D5D65" w:rsidP="00C90D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D5D65" w:rsidRPr="00883711" w14:paraId="55BBB45C" w14:textId="77777777" w:rsidTr="00033721">
        <w:trPr>
          <w:trHeight w:val="1734"/>
        </w:trPr>
        <w:tc>
          <w:tcPr>
            <w:tcW w:w="456" w:type="dxa"/>
            <w:shd w:val="clear" w:color="auto" w:fill="auto"/>
            <w:vAlign w:val="center"/>
            <w:hideMark/>
          </w:tcPr>
          <w:p w14:paraId="552FAB5C" w14:textId="77777777" w:rsidR="001D5D65" w:rsidRPr="00883711" w:rsidRDefault="001D5D65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20CDB90C" w14:textId="77777777" w:rsidR="001D5D65" w:rsidRPr="00883711" w:rsidRDefault="001D5D65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поступления в бюджет администрируемых доходов в запланированных объемах, получение дополнительных доходов, а также сокращение задолженности по их уплате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0F40C5EC" w14:textId="2E41496E" w:rsidR="001D5D65" w:rsidRPr="00883711" w:rsidRDefault="001D5D65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42F5A9EE" w14:textId="77777777" w:rsidR="001D5D65" w:rsidRPr="00883711" w:rsidRDefault="001D5D65" w:rsidP="0021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Главные администраторы доходов бюджета Вачского муниципального округа Нижегородской области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584D5F7" w14:textId="77777777" w:rsidR="001D5D65" w:rsidRPr="00883711" w:rsidRDefault="001D5D65" w:rsidP="00214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Активизация работы главных администраторов доходов по претензионной-исковой работе с неплательщиками, осуществление мер принудительного взыскания задолженности в бюджет</w:t>
            </w:r>
          </w:p>
        </w:tc>
        <w:tc>
          <w:tcPr>
            <w:tcW w:w="3902" w:type="dxa"/>
            <w:vMerge/>
            <w:shd w:val="clear" w:color="auto" w:fill="auto"/>
            <w:vAlign w:val="center"/>
          </w:tcPr>
          <w:p w14:paraId="3B981DCA" w14:textId="72F59A3F" w:rsidR="001D5D65" w:rsidRPr="00883711" w:rsidRDefault="001D5D65" w:rsidP="00E6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33721" w:rsidRPr="00883711" w14:paraId="53B7379C" w14:textId="77777777" w:rsidTr="001D5D65">
        <w:trPr>
          <w:trHeight w:val="1662"/>
        </w:trPr>
        <w:tc>
          <w:tcPr>
            <w:tcW w:w="456" w:type="dxa"/>
            <w:shd w:val="clear" w:color="auto" w:fill="auto"/>
            <w:vAlign w:val="center"/>
          </w:tcPr>
          <w:p w14:paraId="485990BF" w14:textId="0E230FB4" w:rsidR="00033721" w:rsidRPr="00883711" w:rsidRDefault="00033721" w:rsidP="00EE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F12CFF8" w14:textId="721E2170" w:rsidR="00033721" w:rsidRPr="00883711" w:rsidRDefault="00033721" w:rsidP="00EE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взаимодействия с Управлением Федеральной налоговой службы по Нижегородской области и управлением Федеральной службы судебных приставов по Нижегородской области по вопросам собираемости налоговых доходов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7FC13C19" w14:textId="48375790" w:rsidR="00033721" w:rsidRPr="00883711" w:rsidRDefault="00033721" w:rsidP="00EE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369" w:type="dxa"/>
            <w:vAlign w:val="center"/>
          </w:tcPr>
          <w:p w14:paraId="332B9793" w14:textId="0AE8BF12" w:rsidR="00033721" w:rsidRPr="00883711" w:rsidRDefault="00033721" w:rsidP="00EE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финансов администрации Вачского муниципального округа Нижегородской области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8E1270F" w14:textId="77777777" w:rsidR="00033721" w:rsidRPr="00883711" w:rsidRDefault="00033721" w:rsidP="00EE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первоначального</w:t>
            </w:r>
          </w:p>
          <w:p w14:paraId="30A429B1" w14:textId="77777777" w:rsidR="00033721" w:rsidRPr="00883711" w:rsidRDefault="00033721" w:rsidP="00EE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плана поступления налоговых</w:t>
            </w:r>
          </w:p>
          <w:p w14:paraId="2A62AC0F" w14:textId="70BFD1C6" w:rsidR="00033721" w:rsidRPr="00883711" w:rsidRDefault="00033721" w:rsidP="00EE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доходов в бюджет округа, %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13E1AD04" w14:textId="1ADC80F2" w:rsidR="00033721" w:rsidRPr="00883711" w:rsidRDefault="00E650F7" w:rsidP="0077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Управлением </w:t>
            </w:r>
            <w:r w:rsidR="00777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едеральной налоговой службы ежемесячно предоставляется информацию о задолженности по налогам в бюджет </w:t>
            </w:r>
            <w:r w:rsidR="00031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юридически</w:t>
            </w:r>
            <w:r w:rsidR="00031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лиц</w:t>
            </w:r>
            <w:r w:rsidR="00031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физически</w:t>
            </w:r>
            <w:r w:rsidR="00031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лиц</w:t>
            </w:r>
            <w:r w:rsidR="00031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777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редост</w:t>
            </w:r>
            <w:r w:rsidR="007772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авляется информация о причинах невыполнения или перевыполнения плановых назначений ежеквартально.</w:t>
            </w:r>
          </w:p>
        </w:tc>
      </w:tr>
      <w:tr w:rsidR="00883711" w:rsidRPr="00883711" w14:paraId="086AC3FD" w14:textId="77777777" w:rsidTr="00033721">
        <w:trPr>
          <w:trHeight w:val="225"/>
        </w:trPr>
        <w:tc>
          <w:tcPr>
            <w:tcW w:w="11483" w:type="dxa"/>
            <w:gridSpan w:val="6"/>
            <w:shd w:val="clear" w:color="auto" w:fill="auto"/>
            <w:noWrap/>
            <w:vAlign w:val="bottom"/>
            <w:hideMark/>
          </w:tcPr>
          <w:p w14:paraId="169FB837" w14:textId="44A0EAF9" w:rsidR="00EE3AB6" w:rsidRPr="00883711" w:rsidRDefault="00EE3AB6" w:rsidP="00EE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II. Мероприятия по оптимизации расходов</w:t>
            </w:r>
          </w:p>
        </w:tc>
      </w:tr>
      <w:tr w:rsidR="00883711" w:rsidRPr="00883711" w14:paraId="6D9EE8B7" w14:textId="77777777" w:rsidTr="00033721">
        <w:trPr>
          <w:trHeight w:val="225"/>
        </w:trPr>
        <w:tc>
          <w:tcPr>
            <w:tcW w:w="11483" w:type="dxa"/>
            <w:gridSpan w:val="6"/>
            <w:shd w:val="clear" w:color="auto" w:fill="auto"/>
            <w:vAlign w:val="center"/>
            <w:hideMark/>
          </w:tcPr>
          <w:p w14:paraId="02ED889F" w14:textId="31F3B644" w:rsidR="00EE3AB6" w:rsidRPr="00883711" w:rsidRDefault="00EE3AB6" w:rsidP="008C4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1. </w:t>
            </w:r>
            <w:r w:rsidR="008C4B6B"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Муниципальная служба </w:t>
            </w:r>
          </w:p>
        </w:tc>
      </w:tr>
      <w:tr w:rsidR="00033721" w:rsidRPr="00883711" w14:paraId="313E3F7F" w14:textId="77777777" w:rsidTr="00033721">
        <w:trPr>
          <w:trHeight w:val="945"/>
        </w:trPr>
        <w:tc>
          <w:tcPr>
            <w:tcW w:w="456" w:type="dxa"/>
            <w:shd w:val="clear" w:color="auto" w:fill="auto"/>
            <w:vAlign w:val="center"/>
            <w:hideMark/>
          </w:tcPr>
          <w:p w14:paraId="0452B417" w14:textId="77777777" w:rsidR="00033721" w:rsidRPr="00883711" w:rsidRDefault="00033721" w:rsidP="00EE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73D38748" w14:textId="77777777" w:rsidR="00033721" w:rsidRPr="00883711" w:rsidRDefault="00033721" w:rsidP="00EE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 соблюдением нормативов расходов на содержание органов местного самоуправления Вачского муниципального округа Нижегородской области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14F9C673" w14:textId="09383E9F" w:rsidR="00033721" w:rsidRPr="00883711" w:rsidRDefault="00033721" w:rsidP="00EE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4D3EF5D4" w14:textId="77777777" w:rsidR="00033721" w:rsidRPr="00883711" w:rsidRDefault="00033721" w:rsidP="00EE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финансов администрации Вачского муниципального округа Нижегородской области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369ADDF" w14:textId="77777777" w:rsidR="00033721" w:rsidRPr="00883711" w:rsidRDefault="00033721" w:rsidP="00EE3A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Отсутствие превышения над предельными значениями норматива 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71445C4D" w14:textId="2920AF2B" w:rsidR="00F13BC8" w:rsidRDefault="00F13BC8" w:rsidP="00F13BC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2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Превышение над предельными значениями норматива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финансирование </w:t>
            </w:r>
            <w:r w:rsidRPr="00A92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расходов на содержание органов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местного самоуправления, расходов</w:t>
            </w:r>
            <w:r w:rsidRPr="00A92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оплату труда выборных должностных лиц местного самоуправления, осуществляющих свои полномочия на постоянной основе, муниципальных служащих,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92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отсутствует.</w:t>
            </w:r>
          </w:p>
          <w:p w14:paraId="65ECCD26" w14:textId="1B164248" w:rsidR="00F13BC8" w:rsidRDefault="00F13BC8" w:rsidP="00F13BC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Финансирование </w:t>
            </w:r>
            <w:r w:rsidRPr="00A92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осуществляется в пределах норматива, устанавливаемого постановлением Правительства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14:paraId="2B8C20D0" w14:textId="77777777" w:rsidR="00033721" w:rsidRDefault="00F13BC8" w:rsidP="00F13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2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запросу Министерства финансов, данная информация представля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ется</w:t>
            </w:r>
            <w:r w:rsidRPr="00A92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ИАС «АЦ НО» ПМ «Мониторинг соблюдения нормативов расходования бюджетных средств на содержание органов местного самоуправления».</w:t>
            </w:r>
          </w:p>
          <w:p w14:paraId="02CBA827" w14:textId="77777777" w:rsidR="00F13BC8" w:rsidRDefault="00F13BC8" w:rsidP="00F13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5A6008CB" w14:textId="632CB3F7" w:rsidR="00F13BC8" w:rsidRPr="00883711" w:rsidRDefault="00F13BC8" w:rsidP="00F13B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Ежемесячно ведется контроль над объемом запланированных ассигнований на реализацию данных мероприятий. </w:t>
            </w:r>
          </w:p>
        </w:tc>
      </w:tr>
      <w:tr w:rsidR="00033721" w:rsidRPr="00883711" w14:paraId="3524B38E" w14:textId="77777777" w:rsidTr="00033721">
        <w:trPr>
          <w:trHeight w:val="945"/>
        </w:trPr>
        <w:tc>
          <w:tcPr>
            <w:tcW w:w="456" w:type="dxa"/>
            <w:shd w:val="clear" w:color="auto" w:fill="auto"/>
            <w:vAlign w:val="center"/>
          </w:tcPr>
          <w:p w14:paraId="7D9E732B" w14:textId="49E6D712" w:rsidR="00033721" w:rsidRPr="00883711" w:rsidRDefault="00033721" w:rsidP="008C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42B52CC3" w14:textId="37D5B9F6" w:rsidR="00033721" w:rsidRPr="00883711" w:rsidRDefault="00033721" w:rsidP="008C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 соблюдением предельной численности работников органов местного самоуправления, недопущение ее увеличения, за исключением случаев увеличения численности работников органов местного самоуправления, связанных с перераспределением полномочий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3B82FD4C" w14:textId="68DDA89F" w:rsidR="00033721" w:rsidRPr="00883711" w:rsidRDefault="00033721" w:rsidP="008C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B3C18E3" w14:textId="46C88E59" w:rsidR="00033721" w:rsidRPr="00883711" w:rsidRDefault="00033721" w:rsidP="008C4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финансов администрации Вачского муниципального округа Нижегородской области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B9392DC" w14:textId="0FF4BAC5" w:rsidR="00033721" w:rsidRPr="00883711" w:rsidRDefault="00033721" w:rsidP="008C4B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Принятие правовых актов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Согласование штатных расписаний ОМСУ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2B547CC2" w14:textId="77777777" w:rsidR="00033721" w:rsidRDefault="00F13BC8" w:rsidP="00F13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2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течении отчетного периода осуществлялся контроль за внесением изменений в штатные расписания структурных подразделений администрации Вачского муниципального округа Нижегородской области.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A92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существлялся контроль за необоснованным увеличением штатной численности рабо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тников.</w:t>
            </w:r>
          </w:p>
          <w:p w14:paraId="16748431" w14:textId="77777777" w:rsidR="00F13BC8" w:rsidRDefault="00F13BC8" w:rsidP="00F13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00FB1CC" w14:textId="709A886D" w:rsidR="00F13BC8" w:rsidRPr="00883711" w:rsidRDefault="00F13BC8" w:rsidP="0041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апреле 2026 года</w:t>
            </w:r>
            <w:r w:rsidR="004149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произошла реорганизация отдела культуры Вачского муниципального округа Нижегородской области в управление культуры администрации Вачского муниципального округа Нижегородской области, без увеличения штатной численности работников управления.</w:t>
            </w:r>
          </w:p>
        </w:tc>
      </w:tr>
      <w:tr w:rsidR="00033721" w:rsidRPr="00883711" w14:paraId="74F06C9C" w14:textId="77777777" w:rsidTr="00BB1644">
        <w:trPr>
          <w:trHeight w:val="699"/>
        </w:trPr>
        <w:tc>
          <w:tcPr>
            <w:tcW w:w="456" w:type="dxa"/>
            <w:shd w:val="clear" w:color="auto" w:fill="auto"/>
            <w:vAlign w:val="center"/>
          </w:tcPr>
          <w:p w14:paraId="00E68EB2" w14:textId="18C4F30E" w:rsidR="00033721" w:rsidRPr="00883711" w:rsidRDefault="00033721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27FCF4DE" w14:textId="37F352EB" w:rsidR="00033721" w:rsidRPr="00883711" w:rsidRDefault="00033721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 соблюдением действующего законодательства в части установления оплаты труда работников бюджетной сферы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2E4AB6F3" w14:textId="40FE2F86" w:rsidR="00033721" w:rsidRPr="00883711" w:rsidRDefault="00033721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3596681" w14:textId="59F4C2D6" w:rsidR="00033721" w:rsidRPr="00883711" w:rsidRDefault="00033721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финансов администрации Вачского муниципального округа Нижегородской области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/>
              <w:t xml:space="preserve">Главные распорядители бюджетных средств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7BE1302" w14:textId="08E412F8" w:rsidR="00033721" w:rsidRPr="00883711" w:rsidRDefault="00033721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Принятие правовых актов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Согласование штатных расписаний ОМСУ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3866F091" w14:textId="77777777" w:rsidR="00033721" w:rsidRDefault="0041495B" w:rsidP="0041495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Нормативные правовые акты</w:t>
            </w:r>
            <w:r w:rsidRPr="00E74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сфере</w:t>
            </w:r>
            <w:r w:rsidRPr="00E74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оплаты труда работников бюджетной сферы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приводятся </w:t>
            </w:r>
            <w:r w:rsidRPr="00E74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соответствие 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действующим законодательством своевременно по мере внесения изменений. </w:t>
            </w:r>
          </w:p>
          <w:p w14:paraId="7948B263" w14:textId="3D36E15F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отчетном периоде со стороны управления финансов Вачского муниципального округа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Нижегородской области осуществлялось с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огласование штатных расписаний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ОМСУ.</w:t>
            </w:r>
          </w:p>
        </w:tc>
      </w:tr>
      <w:tr w:rsidR="00883711" w:rsidRPr="00883711" w14:paraId="12977F5A" w14:textId="77777777" w:rsidTr="00033721">
        <w:trPr>
          <w:trHeight w:val="316"/>
        </w:trPr>
        <w:tc>
          <w:tcPr>
            <w:tcW w:w="11483" w:type="dxa"/>
            <w:gridSpan w:val="6"/>
            <w:shd w:val="clear" w:color="auto" w:fill="auto"/>
            <w:vAlign w:val="center"/>
          </w:tcPr>
          <w:p w14:paraId="25E9BA29" w14:textId="7EB73091" w:rsidR="00DE3D06" w:rsidRPr="00883711" w:rsidRDefault="00DE3D06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2. Оптимизация бюджетной сети</w:t>
            </w:r>
          </w:p>
        </w:tc>
      </w:tr>
      <w:tr w:rsidR="00033721" w:rsidRPr="00883711" w14:paraId="2AB18CB1" w14:textId="77777777" w:rsidTr="00033721">
        <w:trPr>
          <w:trHeight w:val="851"/>
        </w:trPr>
        <w:tc>
          <w:tcPr>
            <w:tcW w:w="456" w:type="dxa"/>
            <w:shd w:val="clear" w:color="auto" w:fill="auto"/>
            <w:vAlign w:val="center"/>
            <w:hideMark/>
          </w:tcPr>
          <w:p w14:paraId="3C16A641" w14:textId="26B87DFD" w:rsidR="00033721" w:rsidRPr="00883711" w:rsidRDefault="00033721" w:rsidP="00BB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4BF4F184" w14:textId="77777777" w:rsidR="00033721" w:rsidRPr="00883711" w:rsidRDefault="00033721" w:rsidP="00BB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Сохранения целевых показателей заработной платы отдельных категорий работников учреждений Нижегородской области, поименованных в указах Президента Российской Федерации 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0EE22FFF" w14:textId="1BFE8DFD" w:rsidR="00033721" w:rsidRPr="00883711" w:rsidRDefault="00033721" w:rsidP="00BB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1657F15A" w14:textId="77777777" w:rsidR="00033721" w:rsidRPr="00883711" w:rsidRDefault="00033721" w:rsidP="00BB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образования, отдел культуры администрации Вачского муниципального округа Нижегородской области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6D2C783" w14:textId="77777777" w:rsidR="00033721" w:rsidRPr="00883711" w:rsidRDefault="00033721" w:rsidP="00BB1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Достижение значений целевых показателей заработной платы (%)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705C0E60" w14:textId="18FCD0BB" w:rsidR="00033721" w:rsidRDefault="00BB1644" w:rsidP="0027414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Сохранения целевых показателей заработной платы отдельных категорий работников учреждений Нижегородской области, поименованных в указах Президента </w:t>
            </w:r>
            <w:r w:rsidRPr="00BB16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Российской Федерации, является обязанностью исполнительных органов Нижегородской области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органов местного самоуправления.</w:t>
            </w:r>
          </w:p>
          <w:p w14:paraId="2412B44B" w14:textId="77777777" w:rsidR="00BB1644" w:rsidRDefault="00BB1644" w:rsidP="0027414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C08A4C2" w14:textId="35E05B65" w:rsidR="00BB1644" w:rsidRPr="00BB1644" w:rsidRDefault="00BB1644" w:rsidP="0027414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6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обеспечения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сохранения целевых показателей </w:t>
            </w:r>
            <w:r w:rsidRPr="00BB16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заработной платы предусмотрены следующие меры:</w:t>
            </w:r>
          </w:p>
          <w:p w14:paraId="42A567D0" w14:textId="21FEE364" w:rsidR="00BB1644" w:rsidRPr="00BB1644" w:rsidRDefault="00BB1644" w:rsidP="0027414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Pr="00BB16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ежемесячный мониторинг средней заработной платы отдельных категорий работников, поименованных в указах Президента РФ; </w:t>
            </w:r>
          </w:p>
          <w:p w14:paraId="5E8C7F63" w14:textId="325083CD" w:rsidR="00BB1644" w:rsidRDefault="00BB1644" w:rsidP="0027414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B16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представление информа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 о результатах мониторинга.</w:t>
            </w:r>
          </w:p>
          <w:p w14:paraId="058064DE" w14:textId="77777777" w:rsidR="00274141" w:rsidRDefault="00274141" w:rsidP="0027414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E7C8972" w14:textId="051EB131" w:rsidR="00BB1644" w:rsidRPr="00883711" w:rsidRDefault="00274141" w:rsidP="0027414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274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охранение целевых показателей заработной платы является частью государственной политики, реализуемой через систему контроля и корректировки оплаты труда с учётом экономических показателей региона.</w:t>
            </w:r>
          </w:p>
        </w:tc>
      </w:tr>
      <w:tr w:rsidR="00033721" w:rsidRPr="00883711" w14:paraId="7833F58C" w14:textId="77777777" w:rsidTr="00033721">
        <w:trPr>
          <w:trHeight w:val="2025"/>
        </w:trPr>
        <w:tc>
          <w:tcPr>
            <w:tcW w:w="456" w:type="dxa"/>
            <w:shd w:val="clear" w:color="auto" w:fill="auto"/>
            <w:vAlign w:val="center"/>
            <w:hideMark/>
          </w:tcPr>
          <w:p w14:paraId="786F3791" w14:textId="3D8BB206" w:rsidR="00033721" w:rsidRPr="00883711" w:rsidRDefault="00033721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5DB3AAA3" w14:textId="77777777" w:rsidR="00033721" w:rsidRPr="00883711" w:rsidRDefault="00033721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мониторинга предельного уровня соотношения среднемесячной заработной платы руководителей, их заместителей и главных бухгалтеров муниципальных казенных, бюджетных и автономных учреждений  и среднемесячной заработной платы работников этих учреждений 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50A61DE2" w14:textId="2C59FAB0" w:rsidR="00033721" w:rsidRPr="00883711" w:rsidRDefault="00033721" w:rsidP="00C03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Ежеквартально в течении 2026-2028 годов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0FD54BCF" w14:textId="77777777" w:rsidR="00033721" w:rsidRPr="00883711" w:rsidRDefault="00033721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Структурные подразделения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Вачского муниципального округа Нижегородской области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4C9FC79" w14:textId="77777777" w:rsidR="00033721" w:rsidRPr="00883711" w:rsidRDefault="00033721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превышение соотношения среднемесячной заработной платы руководителей, их заместителей и главных бухгалтеров муниципальных казенных, бюджетных и автономных учреждений  и среднемесячной заработной платы работников этих учреждений (без учета заработной платы соответствующего руководителя, его заместителей, главного бухгалтера) 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309C6B3C" w14:textId="02E56734" w:rsidR="00274141" w:rsidRDefault="00274141" w:rsidP="0027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Мониторинг предельного уровня соотношения среднемесячной заработной платы руководителей, их заместителей и главных бухгалтеров муниципальных казённых, бюджетных и автономных учреждений и среднемесячной заработной платы работников этих учреждений осуществляется органами местного самоуправления, которые выполняют функции и полномочия учредителей соответствующих учреждений. Это требование закреплено в статье 145 Трудового кодекса Российской Федерации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35B4EB8A" w14:textId="78BCE912" w:rsidR="00274141" w:rsidRDefault="00274141" w:rsidP="0027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4946F5" w14:textId="484CBEF8" w:rsidR="00033721" w:rsidRPr="00883711" w:rsidRDefault="00274141" w:rsidP="0027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отчетном периоде, такие нарушения отсутствуют.</w:t>
            </w:r>
          </w:p>
        </w:tc>
      </w:tr>
      <w:tr w:rsidR="00033721" w:rsidRPr="00883711" w14:paraId="1ED71333" w14:textId="77777777" w:rsidTr="00033721">
        <w:trPr>
          <w:trHeight w:val="1692"/>
        </w:trPr>
        <w:tc>
          <w:tcPr>
            <w:tcW w:w="456" w:type="dxa"/>
            <w:shd w:val="clear" w:color="auto" w:fill="auto"/>
            <w:vAlign w:val="center"/>
            <w:hideMark/>
          </w:tcPr>
          <w:p w14:paraId="7C60062C" w14:textId="43571BBC" w:rsidR="00033721" w:rsidRPr="00883711" w:rsidRDefault="00033721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0AD9D22E" w14:textId="016E52A3" w:rsidR="00033721" w:rsidRPr="00883711" w:rsidRDefault="00033721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Соблюдение показателей оптимизации численности работников бюджетной сферы 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6160DC7E" w14:textId="45659FCC" w:rsidR="00033721" w:rsidRPr="00883711" w:rsidRDefault="00033721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5BF7A6F0" w14:textId="77777777" w:rsidR="00033721" w:rsidRPr="00883711" w:rsidRDefault="00033721" w:rsidP="00DE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финансов администрации Вачского муниципального округа Нижегородской области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Главные распорядители бюджетных средств 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6CC24DF" w14:textId="306A2325" w:rsidR="00033721" w:rsidRPr="00883711" w:rsidRDefault="00033721" w:rsidP="00DE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Согласование штатных расписаний муниципальных учреждений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186CBE8E" w14:textId="1B9ECFB4" w:rsidR="00712578" w:rsidRPr="00883711" w:rsidRDefault="00274141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Соблюдение показателей оптимизации численности работников бюджетной сферы регулируется нормативными актами и планами мероприятий, направленными на повышение эффективности использования бюджетных средств. Это включает установление нормативов штатной численности, мониторинг показателей и проведение организационно-штатных мероприятий при необходимости</w:t>
            </w:r>
            <w:r w:rsidR="00712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712578" w:rsidRPr="00883711" w14:paraId="7E6BFC88" w14:textId="77777777" w:rsidTr="00033721">
        <w:trPr>
          <w:trHeight w:val="1692"/>
        </w:trPr>
        <w:tc>
          <w:tcPr>
            <w:tcW w:w="456" w:type="dxa"/>
            <w:shd w:val="clear" w:color="auto" w:fill="auto"/>
            <w:vAlign w:val="center"/>
          </w:tcPr>
          <w:p w14:paraId="356ECA5F" w14:textId="233993D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765671D4" w14:textId="5D3403E9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 соблюдением действующего законодательства в части установления оплаты труда работников бюджетной сферы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6D59D19E" w14:textId="11EBBC19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9CB8120" w14:textId="3256F619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финансов администрации Вачского муниципального округа Нижегородской области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Главные распорядители бюджетных средств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F2583A9" w14:textId="358FC536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Принятие правовых актов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Согласование штатных расписаний муниципальных учреждений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6C0459E4" w14:textId="77777777" w:rsidR="00712578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Нормативные правовые акты</w:t>
            </w:r>
            <w:r w:rsidRPr="00E74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сфере</w:t>
            </w:r>
            <w:r w:rsidRPr="00E74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оплаты труда работников бюджетной сферы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приводятся </w:t>
            </w:r>
            <w:r w:rsidRPr="00E749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соответствие 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действующим законодательством своевременно по мере внесения изменений. </w:t>
            </w:r>
          </w:p>
          <w:p w14:paraId="7D05E918" w14:textId="77777777" w:rsidR="00712578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0B582E8" w14:textId="7D6B8DB3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отчетном периоде со стороны управления финансов Вачского муниципального округа Нижегородской области осуществлялось с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огласование штатных расписаний муниципальных учреждений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подведомственных главным распорядителям бюджетных средств. </w:t>
            </w:r>
          </w:p>
        </w:tc>
      </w:tr>
      <w:tr w:rsidR="00712578" w:rsidRPr="00883711" w14:paraId="0B49BDE3" w14:textId="77777777" w:rsidTr="00033721">
        <w:trPr>
          <w:trHeight w:val="1692"/>
        </w:trPr>
        <w:tc>
          <w:tcPr>
            <w:tcW w:w="456" w:type="dxa"/>
            <w:shd w:val="clear" w:color="auto" w:fill="auto"/>
            <w:vAlign w:val="center"/>
          </w:tcPr>
          <w:p w14:paraId="2036040B" w14:textId="7F4DCA8D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2.5.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345D018" w14:textId="31D4FC6F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оценки возможной оптимизации сети учреждений социальной сферы путем реорганизации, ликвидации или преобразования в организации иных организационно-правовых форм муниципальных учреждений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384D081A" w14:textId="3FF5F09D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E3CB00C" w14:textId="6F9A3CC8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Главные распорядители бюджетных средств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93ABE0F" w14:textId="2C2808EB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Оценка возможной оптимизации сети учреждений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293C8450" w14:textId="6513EBC5" w:rsidR="00712578" w:rsidRDefault="00635653" w:rsidP="00635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63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1 квартале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года не создавалось новых учреждений. </w:t>
            </w:r>
          </w:p>
          <w:p w14:paraId="4848DFAC" w14:textId="77777777" w:rsidR="00635653" w:rsidRDefault="00635653" w:rsidP="00635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292F83A" w14:textId="55061301" w:rsidR="00635653" w:rsidRPr="00883711" w:rsidRDefault="00635653" w:rsidP="006356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Велась работа по о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ценка возможной оптимизации сети учреждений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путем 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реорганизации,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слияния и 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ликвидации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712578" w:rsidRPr="00883711" w14:paraId="3E43CBDA" w14:textId="77777777" w:rsidTr="00033721">
        <w:trPr>
          <w:trHeight w:val="1692"/>
        </w:trPr>
        <w:tc>
          <w:tcPr>
            <w:tcW w:w="456" w:type="dxa"/>
            <w:shd w:val="clear" w:color="auto" w:fill="auto"/>
            <w:vAlign w:val="center"/>
          </w:tcPr>
          <w:p w14:paraId="6B091741" w14:textId="37ACAB44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6CDFF57" w14:textId="2780CB59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Мониторинг потребности и предусмотренных средств на повышение оплаты труда работников бюджетной сферы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37C987A5" w14:textId="1E8E6529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Ежеквартально в течение 2026-2028 годов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9659304" w14:textId="68FC4183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финансов администрации Вачского муниципального округа Нижегородской области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Главные распорядители бюджетных средств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8C5E4A2" w14:textId="54DC9C54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Оценка возможной потребности в средствах на оплату труда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5B89530C" w14:textId="5785826D" w:rsidR="00712578" w:rsidRPr="00883711" w:rsidRDefault="00876D14" w:rsidP="0087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отчетном периоде ежемесячно п</w:t>
            </w:r>
            <w:r w:rsidRPr="007B54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роводился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мониторинг </w:t>
            </w:r>
            <w:r w:rsidRPr="007B54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потребности и предусмотренных средствах местных бюджетов на оплат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7B54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труда работников бюджетной сферы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Данная информация также представляется в Министерство финансов Нижегородской области в системе «Свод- СМАРТ».</w:t>
            </w:r>
          </w:p>
        </w:tc>
      </w:tr>
      <w:tr w:rsidR="00712578" w:rsidRPr="00883711" w14:paraId="255FC447" w14:textId="77777777" w:rsidTr="00033721">
        <w:trPr>
          <w:trHeight w:val="76"/>
        </w:trPr>
        <w:tc>
          <w:tcPr>
            <w:tcW w:w="11483" w:type="dxa"/>
            <w:gridSpan w:val="6"/>
            <w:shd w:val="clear" w:color="auto" w:fill="auto"/>
            <w:noWrap/>
            <w:vAlign w:val="bottom"/>
            <w:hideMark/>
          </w:tcPr>
          <w:p w14:paraId="3C084C31" w14:textId="06496998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3. Совершенствование системы закупок для муниципальных нужд</w:t>
            </w:r>
          </w:p>
        </w:tc>
      </w:tr>
      <w:tr w:rsidR="00712578" w:rsidRPr="00883711" w14:paraId="6FF9F510" w14:textId="77777777" w:rsidTr="00033721">
        <w:trPr>
          <w:trHeight w:val="1800"/>
        </w:trPr>
        <w:tc>
          <w:tcPr>
            <w:tcW w:w="456" w:type="dxa"/>
            <w:shd w:val="clear" w:color="auto" w:fill="auto"/>
            <w:vAlign w:val="center"/>
            <w:hideMark/>
          </w:tcPr>
          <w:p w14:paraId="65F98E6A" w14:textId="6113E660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31D9624F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Утверждение требований к закупаемым структурными подразделениями администрации Вачского муниципального округа Нижегородской области отдельным видам товаров, работ, услуг (в том числе предельные цены товаров, работ, услуг)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  <w:hideMark/>
          </w:tcPr>
          <w:p w14:paraId="7B9D3674" w14:textId="77777777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Ежегодно (II квартал текущего финансового года)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  <w:hideMark/>
          </w:tcPr>
          <w:p w14:paraId="593F0476" w14:textId="77777777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Структурные подразделения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Вачского муниципального округа Нижегородской области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19B1AAD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Разработанные НПА структурными подразделениями администрации Вачского муниципального округа Нижегородской области об утверждении требований к закупаемым отдельным видам товаров, работ, услуг</w:t>
            </w: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14:paraId="400DE43E" w14:textId="6A4BF5BF" w:rsidR="00712578" w:rsidRPr="00883711" w:rsidRDefault="00876D14" w:rsidP="0087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8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утверждения требований к закупаемым структурными подразделениями администрации Вачского муниципального округа Нижегородской области отдельным видам товаров, работ, услуг (в том числе предельные цены товаров, работ, услуг), а также утверждения нормативных затрат на обеспечение функций структурных подразделений администрации Вачского муниципального округа Нижегородской области - </w:t>
            </w:r>
            <w:r w:rsidRPr="007B54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II</w:t>
            </w:r>
            <w:r w:rsidRPr="00A928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A928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года.</w:t>
            </w:r>
          </w:p>
        </w:tc>
      </w:tr>
      <w:tr w:rsidR="00712578" w:rsidRPr="00883711" w14:paraId="6A878CE6" w14:textId="77777777" w:rsidTr="00033721">
        <w:trPr>
          <w:trHeight w:val="1350"/>
        </w:trPr>
        <w:tc>
          <w:tcPr>
            <w:tcW w:w="456" w:type="dxa"/>
            <w:shd w:val="clear" w:color="auto" w:fill="auto"/>
            <w:vAlign w:val="center"/>
            <w:hideMark/>
          </w:tcPr>
          <w:p w14:paraId="633B5F25" w14:textId="460CE42E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77BE03DA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Утверждение  нормативных затрат на обеспечение функций структурных подразделений администрации Вачского муниципального округа Нижегородской области</w:t>
            </w:r>
          </w:p>
        </w:tc>
        <w:tc>
          <w:tcPr>
            <w:tcW w:w="1503" w:type="dxa"/>
            <w:vMerge/>
            <w:vAlign w:val="center"/>
            <w:hideMark/>
          </w:tcPr>
          <w:p w14:paraId="4FA6B43C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vAlign w:val="center"/>
            <w:hideMark/>
          </w:tcPr>
          <w:p w14:paraId="495D4D52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1B6C0F5E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Повышения эффективности бюджетных расходов и организации процесса бюджетного планирования, обоснования объектов закупки, включаемых в план закупок на очередной финансовый год </w:t>
            </w:r>
          </w:p>
        </w:tc>
        <w:tc>
          <w:tcPr>
            <w:tcW w:w="3902" w:type="dxa"/>
            <w:vMerge/>
            <w:shd w:val="clear" w:color="auto" w:fill="auto"/>
            <w:vAlign w:val="center"/>
          </w:tcPr>
          <w:p w14:paraId="32971EDB" w14:textId="18EC1A40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12578" w:rsidRPr="00883711" w14:paraId="31373285" w14:textId="77777777" w:rsidTr="00033721">
        <w:trPr>
          <w:trHeight w:val="225"/>
        </w:trPr>
        <w:tc>
          <w:tcPr>
            <w:tcW w:w="11483" w:type="dxa"/>
            <w:gridSpan w:val="6"/>
            <w:shd w:val="clear" w:color="auto" w:fill="auto"/>
            <w:noWrap/>
            <w:vAlign w:val="bottom"/>
            <w:hideMark/>
          </w:tcPr>
          <w:p w14:paraId="6D354F7C" w14:textId="029E5540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4. Мероприятия в части исполнения бюджета</w:t>
            </w:r>
          </w:p>
        </w:tc>
      </w:tr>
      <w:tr w:rsidR="00712578" w:rsidRPr="00883711" w14:paraId="0D21DFDC" w14:textId="77777777" w:rsidTr="00033721">
        <w:trPr>
          <w:trHeight w:val="1575"/>
        </w:trPr>
        <w:tc>
          <w:tcPr>
            <w:tcW w:w="456" w:type="dxa"/>
            <w:shd w:val="clear" w:color="auto" w:fill="auto"/>
            <w:vAlign w:val="center"/>
            <w:hideMark/>
          </w:tcPr>
          <w:p w14:paraId="2D99F681" w14:textId="21043C9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6081598B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оценки эффективности реализации муниципальных программ по итогам полугодия, года.</w:t>
            </w:r>
          </w:p>
          <w:p w14:paraId="069272B5" w14:textId="26946AFB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Составление рейтинга муниципальных программ по уровню их исполнения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3B4733F0" w14:textId="77777777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Ежегодно (по итогам года- до 25 апреля следующего за отчетным, по итогам 1 полугодия – до 25 июля)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35A06225" w14:textId="77777777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экономики администрации Вачского муниципального округа Нижегородской области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4E1E4C1" w14:textId="3D9078AF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Достижение эффективности реализации муниципальных программ, %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16D8903B" w14:textId="7131DA97" w:rsidR="00712578" w:rsidRPr="00883711" w:rsidRDefault="00712578" w:rsidP="00712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8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Оценка эффективности реализации муниципальных программ по итогам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A928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года будет проведена во </w:t>
            </w:r>
            <w:r w:rsidRPr="00A9282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  <w:r w:rsidRPr="00A928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квартале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A928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года, в срок до 25 апреля.</w:t>
            </w:r>
          </w:p>
        </w:tc>
      </w:tr>
      <w:tr w:rsidR="00712578" w:rsidRPr="00883711" w14:paraId="7B02B4CD" w14:textId="77777777" w:rsidTr="00033721">
        <w:trPr>
          <w:trHeight w:val="675"/>
        </w:trPr>
        <w:tc>
          <w:tcPr>
            <w:tcW w:w="456" w:type="dxa"/>
            <w:shd w:val="clear" w:color="auto" w:fill="auto"/>
            <w:vAlign w:val="center"/>
            <w:hideMark/>
          </w:tcPr>
          <w:p w14:paraId="6795A5C7" w14:textId="07847D5B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7305BF99" w14:textId="0B4A597B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финансирования на основании доведенных лимитов бюджетных обязательств, а также недопущение нецелевого использования бюджетных средств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3E943789" w14:textId="0FAA13EA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57234C6C" w14:textId="77777777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Главные распорядители бюджетных средств 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9DDFA3E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превышение лимитов бюджетных обязательств</w:t>
            </w:r>
          </w:p>
          <w:p w14:paraId="5943CFDE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037BA48" w14:textId="198A516A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нецелевого использования бюджетных средств, снижение доли непрограммных расходов в общем объеме расходов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7A588B10" w14:textId="72DC26D5" w:rsidR="00876D14" w:rsidRPr="00E1114C" w:rsidRDefault="00876D14" w:rsidP="00876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Лимиты бюджетных обязательств на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E11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E11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E11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 утверждаются в составе сводной бюджетной росписи бюджета муниципального округа и лимитов бюджетных обязательств на соответствующий период.</w:t>
            </w:r>
          </w:p>
          <w:p w14:paraId="31DBDDAC" w14:textId="77777777" w:rsidR="00876D14" w:rsidRPr="00E1114C" w:rsidRDefault="00876D14" w:rsidP="00876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AD3E8DF" w14:textId="77777777" w:rsidR="00876D14" w:rsidRPr="00E1114C" w:rsidRDefault="00876D14" w:rsidP="00876D1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Сокращение и доведение лимитов бюджетных обязательств до главных распорядителей бюджетных средств осуществлялось путём направления им соответствующих уведомлений на основании уведомлений отраслевых министерств. </w:t>
            </w:r>
          </w:p>
          <w:p w14:paraId="0E99A79A" w14:textId="77777777" w:rsidR="00876D14" w:rsidRPr="00E1114C" w:rsidRDefault="00876D14" w:rsidP="00876D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84004BD" w14:textId="37BF8AB3" w:rsidR="00712578" w:rsidRPr="00883711" w:rsidRDefault="00876D14" w:rsidP="0087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Превышение лимитов бюджетных обязательств в отчетном периоде не допускалось.</w:t>
            </w:r>
            <w:r w:rsidRPr="00E111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12578" w:rsidRPr="00883711" w14:paraId="052B5BB6" w14:textId="77777777" w:rsidTr="00BA76C3">
        <w:trPr>
          <w:trHeight w:val="555"/>
        </w:trPr>
        <w:tc>
          <w:tcPr>
            <w:tcW w:w="456" w:type="dxa"/>
            <w:shd w:val="clear" w:color="auto" w:fill="auto"/>
            <w:vAlign w:val="center"/>
            <w:hideMark/>
          </w:tcPr>
          <w:p w14:paraId="36150E01" w14:textId="550DF03A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60C6FEAC" w14:textId="68452AD6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мониторинга дебиторской и кредиторской задолженностей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4D25032C" w14:textId="1B3E6FF0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1FF77E09" w14:textId="77777777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Главные распорядители бюджетных средств 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4AAEAF2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Отсутствие (минимизация) задолженностей (кредиторской, просроченной </w:t>
            </w: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кредиторской, дебиторской) (%)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62E1A2B1" w14:textId="65226830" w:rsidR="00AD09F7" w:rsidRPr="00883711" w:rsidRDefault="00AD09F7" w:rsidP="00A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Мониторинг дебиторской и кредиторской задолженностей в бюджетной сфере — это систематический контроль состояния долгов получателей бюджетных средств, бюджетных и автономных учреждений. Он направлен на </w:t>
            </w:r>
            <w:r w:rsidRPr="00AD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 финансовой дисциплины, своевременное исполнение обязательств и эффективное управление бюджетными ресурсами.</w:t>
            </w:r>
          </w:p>
        </w:tc>
      </w:tr>
      <w:tr w:rsidR="00712578" w:rsidRPr="00883711" w14:paraId="3905AD65" w14:textId="77777777" w:rsidTr="00033721">
        <w:trPr>
          <w:trHeight w:val="1125"/>
        </w:trPr>
        <w:tc>
          <w:tcPr>
            <w:tcW w:w="456" w:type="dxa"/>
            <w:shd w:val="clear" w:color="auto" w:fill="auto"/>
            <w:vAlign w:val="center"/>
            <w:hideMark/>
          </w:tcPr>
          <w:p w14:paraId="6B6A0ECF" w14:textId="49101DB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4.4.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5EC71628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мониторинга качества финансового менеджмента, осуществляемого главными администраторами средств бюджета 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16A9D938" w14:textId="04C2B502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0CFF0746" w14:textId="77777777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Главные распорядители бюджетных средств 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EC6B84F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Индекс качества финансового менеджмента  (%)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684EF10E" w14:textId="77777777" w:rsidR="00712578" w:rsidRDefault="00876D14" w:rsidP="0087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итогам проведенного мониторинга качества финансового менеджмента за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год</w:t>
            </w:r>
            <w:r w:rsidRPr="00E11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средний индекс качества финансового менеджмента составил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77,17%, что выше уровня за 2024 год, что свидетельствует о положительной динамике</w:t>
            </w:r>
            <w:r w:rsidR="00AD09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273B58B3" w14:textId="77777777" w:rsidR="00AD09F7" w:rsidRDefault="00AD09F7" w:rsidP="0087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BC28363" w14:textId="4A6F8993" w:rsidR="00AD09F7" w:rsidRDefault="00AD09F7" w:rsidP="0087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Данный мониторинг и пояснительная записка размещены на официальном сайте администрации Вачского муниципального округа: </w:t>
            </w:r>
            <w:hyperlink r:id="rId8" w:history="1">
              <w:r w:rsidRPr="003765FE">
                <w:rPr>
                  <w:rStyle w:val="aa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https://vacha.nobl.ru/activity/40097/</w:t>
              </w:r>
            </w:hyperlink>
          </w:p>
          <w:p w14:paraId="27A56A41" w14:textId="77777777" w:rsidR="00AD09F7" w:rsidRDefault="00AD09F7" w:rsidP="0087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4C51D67" w14:textId="228D2932" w:rsidR="00AD09F7" w:rsidRPr="00883711" w:rsidRDefault="00AD09F7" w:rsidP="00876D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Также, данный мониторинг представляется в государственной системе «Электронный бюджет». </w:t>
            </w:r>
          </w:p>
        </w:tc>
      </w:tr>
      <w:tr w:rsidR="00712578" w:rsidRPr="00883711" w14:paraId="6AFC9EE4" w14:textId="77777777" w:rsidTr="00AD09F7">
        <w:trPr>
          <w:trHeight w:val="2643"/>
        </w:trPr>
        <w:tc>
          <w:tcPr>
            <w:tcW w:w="456" w:type="dxa"/>
            <w:shd w:val="clear" w:color="auto" w:fill="auto"/>
            <w:vAlign w:val="center"/>
            <w:hideMark/>
          </w:tcPr>
          <w:p w14:paraId="29D9BF47" w14:textId="5BE02F6C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4.5.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218BDA7D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соответствия нормативно-правовой базы, требованиям законодательства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0D49C322" w14:textId="63A52131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61CF9B08" w14:textId="77777777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Структурные подразделения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Вачского муниципального округа Нижегородской области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47B7E22" w14:textId="30D8BA91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мониторинга федерального, регионального  законодательства, в целях своевременного внесения изменений в нормативно-правовые акты Вачского муниципального округа Нижегородской области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7886EB45" w14:textId="2A927425" w:rsidR="00712578" w:rsidRPr="00883711" w:rsidRDefault="00AD09F7" w:rsidP="00A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11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рамках мониторинга федерального, регионального законодательства обеспечивалось регулярное обновлен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ие муниципальных правовых актов, применяемых в текущей деятельности. </w:t>
            </w:r>
          </w:p>
        </w:tc>
      </w:tr>
      <w:tr w:rsidR="00712578" w:rsidRPr="00883711" w14:paraId="597D6C1B" w14:textId="77777777" w:rsidTr="00033721">
        <w:trPr>
          <w:trHeight w:val="225"/>
        </w:trPr>
        <w:tc>
          <w:tcPr>
            <w:tcW w:w="11483" w:type="dxa"/>
            <w:gridSpan w:val="6"/>
            <w:shd w:val="clear" w:color="auto" w:fill="auto"/>
            <w:noWrap/>
            <w:vAlign w:val="bottom"/>
            <w:hideMark/>
          </w:tcPr>
          <w:p w14:paraId="78686F29" w14:textId="5A716AE4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5. Муниципальные задания на оказание муниципальных услуг (выполнение работ)</w:t>
            </w:r>
          </w:p>
        </w:tc>
      </w:tr>
      <w:tr w:rsidR="00712578" w:rsidRPr="00883711" w14:paraId="5ECD3AD1" w14:textId="77777777" w:rsidTr="00033721">
        <w:trPr>
          <w:trHeight w:val="1690"/>
        </w:trPr>
        <w:tc>
          <w:tcPr>
            <w:tcW w:w="456" w:type="dxa"/>
            <w:shd w:val="clear" w:color="auto" w:fill="auto"/>
            <w:vAlign w:val="center"/>
            <w:hideMark/>
          </w:tcPr>
          <w:p w14:paraId="3BA93D86" w14:textId="4B9C8EB9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66A9FEDE" w14:textId="616D0F6C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мониторинга выполнения муниципальных заданий  на оказание муниципальных услуг (выполнение работ) муниципальными учреждениями Вачского муниципального округа Нижегородской области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22A3658A" w14:textId="77777777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Ежегодно  (В сроки, установленные муниципальным заданием, но не позднее 1 февраля года, следующего за отчетным)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  <w:hideMark/>
          </w:tcPr>
          <w:p w14:paraId="717B1F45" w14:textId="77777777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образования администрации Вачского муниципального округа Нижегородской области, отдел культуры администрации Вачского муниципального округа Нижегородской области, администрация Вачского муниципального округа Нижегородской области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1B6B867D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Оптимизация расходов бюджета, сокращение объемов остатков на счетах на начало года  по субсидиям на выполнение муниципального задания, достижение показателей, запланированных учреждением в муниципальном задании, возврат в бюджет средств в объеме остатков субсидий, образовавшихся в связи с недостижением установленных  муниципальным заданием показателей, характеризующих объем муниципальных услуг (работ)</w:t>
            </w:r>
          </w:p>
        </w:tc>
        <w:tc>
          <w:tcPr>
            <w:tcW w:w="3902" w:type="dxa"/>
            <w:shd w:val="clear" w:color="auto" w:fill="auto"/>
            <w:noWrap/>
            <w:vAlign w:val="center"/>
          </w:tcPr>
          <w:p w14:paraId="5D68F3A3" w14:textId="4B4ECBD0" w:rsidR="00712578" w:rsidRPr="00C75C19" w:rsidRDefault="00712578" w:rsidP="00AD09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16"/>
                <w:szCs w:val="16"/>
                <w:lang w:eastAsia="ru-RU"/>
              </w:rPr>
            </w:pPr>
            <w:r w:rsidRPr="00C75C19">
              <w:rPr>
                <w:rFonts w:ascii="Times New Roman" w:eastAsia="Times New Roman" w:hAnsi="Times New Roman" w:cs="Times New Roman"/>
                <w:bCs/>
                <w:noProof/>
                <w:sz w:val="16"/>
                <w:szCs w:val="16"/>
                <w:lang w:eastAsia="ru-RU"/>
              </w:rPr>
              <w:t>По итогам года, по состоянию на 01.01.202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6"/>
                <w:szCs w:val="16"/>
                <w:lang w:eastAsia="ru-RU"/>
              </w:rPr>
              <w:t>6</w:t>
            </w:r>
            <w:r w:rsidRPr="00C75C19">
              <w:rPr>
                <w:rFonts w:ascii="Times New Roman" w:eastAsia="Times New Roman" w:hAnsi="Times New Roman" w:cs="Times New Roman"/>
                <w:bCs/>
                <w:noProof/>
                <w:sz w:val="16"/>
                <w:szCs w:val="16"/>
                <w:lang w:eastAsia="ru-RU"/>
              </w:rPr>
              <w:t xml:space="preserve"> года в Вачском муниципальном округе Нижегородской области 3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6"/>
                <w:szCs w:val="16"/>
                <w:lang w:eastAsia="ru-RU"/>
              </w:rPr>
              <w:t>3</w:t>
            </w:r>
            <w:r w:rsidRPr="00C75C19">
              <w:rPr>
                <w:rFonts w:ascii="Times New Roman" w:eastAsia="Times New Roman" w:hAnsi="Times New Roman" w:cs="Times New Roman"/>
                <w:bCs/>
                <w:noProof/>
                <w:sz w:val="16"/>
                <w:szCs w:val="16"/>
                <w:lang w:eastAsia="ru-RU"/>
              </w:rPr>
              <w:t xml:space="preserve"> муниципальных учреждения, которые были профинансированы в 202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6"/>
                <w:szCs w:val="16"/>
                <w:lang w:eastAsia="ru-RU"/>
              </w:rPr>
              <w:t>5</w:t>
            </w:r>
            <w:r w:rsidRPr="00C75C19">
              <w:rPr>
                <w:rFonts w:ascii="Times New Roman" w:eastAsia="Times New Roman" w:hAnsi="Times New Roman" w:cs="Times New Roman"/>
                <w:bCs/>
                <w:noProof/>
                <w:sz w:val="16"/>
                <w:szCs w:val="16"/>
                <w:lang w:eastAsia="ru-RU"/>
              </w:rPr>
              <w:t xml:space="preserve"> году и по которым утверждены муниципальные задания. </w:t>
            </w:r>
          </w:p>
          <w:p w14:paraId="1E578C2F" w14:textId="1714FAB9" w:rsidR="00712578" w:rsidRPr="00C75C19" w:rsidRDefault="00712578" w:rsidP="00AD09F7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</w:pPr>
            <w:r w:rsidRPr="00C75C19">
              <w:rPr>
                <w:rFonts w:ascii="Times New Roman" w:hAnsi="Times New Roman" w:cs="Times New Roman"/>
                <w:b/>
                <w:sz w:val="16"/>
                <w:szCs w:val="16"/>
              </w:rPr>
              <w:t>По отрасли «Образование»</w:t>
            </w:r>
            <w:r w:rsidRPr="00C75C1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муниципальные задания на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75C19">
              <w:rPr>
                <w:rFonts w:ascii="Times New Roman" w:hAnsi="Times New Roman" w:cs="Times New Roman"/>
                <w:sz w:val="16"/>
                <w:szCs w:val="16"/>
              </w:rPr>
              <w:t xml:space="preserve"> год были утверждены всем 27 бюджетным учреждениям, в соответствии с </w:t>
            </w:r>
            <w:r w:rsidRPr="00C75C1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 xml:space="preserve">утвержденным перечнем муниципальных услуг (работ). </w:t>
            </w:r>
          </w:p>
          <w:p w14:paraId="1FA9A3FE" w14:textId="1C5880B2" w:rsidR="00712578" w:rsidRPr="00C75C19" w:rsidRDefault="00712578" w:rsidP="00AD09F7">
            <w:pPr>
              <w:pStyle w:val="a00"/>
              <w:spacing w:before="0" w:beforeAutospacing="0" w:after="0" w:afterAutospacing="0"/>
              <w:rPr>
                <w:rFonts w:eastAsia="Times New Roman"/>
                <w:color w:val="000000"/>
                <w:sz w:val="16"/>
                <w:szCs w:val="16"/>
              </w:rPr>
            </w:pPr>
            <w:r w:rsidRPr="00C75C19">
              <w:rPr>
                <w:rFonts w:eastAsia="Times New Roman"/>
                <w:sz w:val="16"/>
                <w:szCs w:val="16"/>
              </w:rPr>
              <w:t xml:space="preserve">Показатели </w:t>
            </w:r>
            <w:r w:rsidRPr="00C75C19">
              <w:rPr>
                <w:rFonts w:eastAsia="Times New Roman"/>
                <w:color w:val="000000"/>
                <w:sz w:val="16"/>
                <w:szCs w:val="16"/>
              </w:rPr>
              <w:t>объема услуг в натуральных показателях, за отчетный 202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5</w:t>
            </w:r>
            <w:r w:rsidRPr="00C75C19">
              <w:rPr>
                <w:rFonts w:eastAsia="Times New Roman"/>
                <w:color w:val="000000"/>
                <w:sz w:val="16"/>
                <w:szCs w:val="16"/>
              </w:rPr>
              <w:t xml:space="preserve"> год, выполнены в полном объеме.</w:t>
            </w:r>
          </w:p>
          <w:p w14:paraId="67DE93CC" w14:textId="7FD913F2" w:rsidR="00712578" w:rsidRPr="00E30351" w:rsidRDefault="00712578" w:rsidP="00AD09F7">
            <w:pPr>
              <w:pStyle w:val="a00"/>
              <w:spacing w:before="0" w:beforeAutospacing="0" w:after="0" w:afterAutospacing="0"/>
              <w:rPr>
                <w:rFonts w:eastAsia="Times New Roman"/>
                <w:color w:val="000000"/>
                <w:sz w:val="16"/>
                <w:szCs w:val="16"/>
              </w:rPr>
            </w:pPr>
            <w:r w:rsidRPr="00E30351">
              <w:rPr>
                <w:rFonts w:eastAsia="Times New Roman"/>
                <w:color w:val="000000"/>
                <w:sz w:val="16"/>
                <w:szCs w:val="16"/>
              </w:rPr>
              <w:t>Отклонений показателей объема муниципальных услуг, превышающих допустимое (</w:t>
            </w:r>
            <w:r w:rsidR="009D3BC1" w:rsidRPr="00E30351">
              <w:rPr>
                <w:rFonts w:eastAsia="Times New Roman"/>
                <w:color w:val="000000"/>
                <w:sz w:val="16"/>
                <w:szCs w:val="16"/>
              </w:rPr>
              <w:t>возможное) значение</w:t>
            </w:r>
            <w:r w:rsidRPr="00E30351">
              <w:rPr>
                <w:rFonts w:eastAsia="Times New Roman"/>
                <w:color w:val="000000"/>
                <w:sz w:val="16"/>
                <w:szCs w:val="16"/>
              </w:rPr>
              <w:t xml:space="preserve"> не обнаружено.</w:t>
            </w:r>
          </w:p>
          <w:p w14:paraId="45AEDDC4" w14:textId="77777777" w:rsidR="00712578" w:rsidRDefault="00712578" w:rsidP="00AD09F7">
            <w:pPr>
              <w:pStyle w:val="a00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C75C19">
              <w:rPr>
                <w:color w:val="000000"/>
                <w:sz w:val="16"/>
                <w:szCs w:val="16"/>
              </w:rPr>
              <w:t xml:space="preserve">По всем оказанным муниципальным услугам, отклонений показателей качества </w:t>
            </w:r>
            <w:r w:rsidRPr="00E30351">
              <w:rPr>
                <w:color w:val="000000"/>
                <w:sz w:val="16"/>
                <w:szCs w:val="16"/>
              </w:rPr>
              <w:t>с отрицательными результатами (более допустимого (возможного) отклонения - 5%) не зафиксировано.</w:t>
            </w:r>
          </w:p>
          <w:p w14:paraId="6F473D90" w14:textId="77777777" w:rsidR="00712578" w:rsidRPr="00E30351" w:rsidRDefault="00712578" w:rsidP="00AD09F7">
            <w:pPr>
              <w:pStyle w:val="a00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E30351">
              <w:rPr>
                <w:color w:val="000000"/>
                <w:sz w:val="16"/>
                <w:szCs w:val="16"/>
              </w:rPr>
              <w:t>В пределах допустимого (возможного) значения отклонения показателей качества зафиксированы по 6 муниципальным услугам.</w:t>
            </w:r>
          </w:p>
          <w:p w14:paraId="1301E1E8" w14:textId="77777777" w:rsidR="00712578" w:rsidRPr="00C75C19" w:rsidRDefault="00712578" w:rsidP="00AD09F7">
            <w:pPr>
              <w:pStyle w:val="a00"/>
              <w:spacing w:before="0" w:beforeAutospacing="0" w:after="0" w:afterAutospacing="0"/>
              <w:rPr>
                <w:rFonts w:eastAsia="Times New Roman"/>
                <w:color w:val="000000"/>
                <w:sz w:val="16"/>
                <w:szCs w:val="16"/>
              </w:rPr>
            </w:pPr>
            <w:r w:rsidRPr="00C75C19">
              <w:rPr>
                <w:rFonts w:eastAsia="Times New Roman"/>
                <w:color w:val="000000"/>
                <w:sz w:val="16"/>
                <w:szCs w:val="16"/>
              </w:rPr>
              <w:t>Учреждений, в отношении которых принято решение о возврате части субсидии на основании невыполнения показателей муниципального задания нет.</w:t>
            </w:r>
          </w:p>
          <w:p w14:paraId="4A44374E" w14:textId="77777777" w:rsidR="00712578" w:rsidRPr="00C75C19" w:rsidRDefault="00712578" w:rsidP="00AD09F7">
            <w:pPr>
              <w:pStyle w:val="a00"/>
              <w:spacing w:before="0" w:beforeAutospacing="0" w:after="0" w:afterAutospacing="0"/>
              <w:rPr>
                <w:rFonts w:eastAsia="Times New Roman"/>
                <w:color w:val="000000"/>
                <w:sz w:val="16"/>
                <w:szCs w:val="16"/>
              </w:rPr>
            </w:pPr>
            <w:r w:rsidRPr="00C75C19">
              <w:rPr>
                <w:rFonts w:eastAsia="Times New Roman"/>
                <w:b/>
                <w:color w:val="000000"/>
                <w:sz w:val="16"/>
                <w:szCs w:val="16"/>
              </w:rPr>
              <w:t>По отрасли «Культура, кинематография»</w:t>
            </w:r>
            <w:r w:rsidRPr="00C75C19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муниципальные задания утверждены по 3 бюджетным учреждениям:</w:t>
            </w:r>
          </w:p>
          <w:p w14:paraId="360A83C1" w14:textId="220397FE" w:rsidR="00712578" w:rsidRPr="00C75C19" w:rsidRDefault="00712578" w:rsidP="00AD09F7">
            <w:pPr>
              <w:pStyle w:val="a00"/>
              <w:spacing w:before="0" w:beforeAutospacing="0" w:after="0" w:afterAutospacing="0"/>
              <w:rPr>
                <w:rFonts w:eastAsia="Times New Roman"/>
                <w:color w:val="000000"/>
                <w:sz w:val="16"/>
                <w:szCs w:val="16"/>
              </w:rPr>
            </w:pPr>
            <w:r w:rsidRPr="00C75C19">
              <w:rPr>
                <w:rFonts w:eastAsia="Times New Roman"/>
                <w:color w:val="000000"/>
                <w:sz w:val="16"/>
                <w:szCs w:val="16"/>
              </w:rPr>
              <w:t>Показатели объема услуг в натуральных показателях, за отчетный 202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5</w:t>
            </w:r>
            <w:r w:rsidRPr="00C75C19">
              <w:rPr>
                <w:rFonts w:eastAsia="Times New Roman"/>
                <w:color w:val="000000"/>
                <w:sz w:val="16"/>
                <w:szCs w:val="16"/>
              </w:rPr>
              <w:t xml:space="preserve"> год, выполнены в полном объеме. </w:t>
            </w:r>
          </w:p>
          <w:p w14:paraId="4C6D437A" w14:textId="77777777" w:rsidR="00712578" w:rsidRPr="00C75C19" w:rsidRDefault="00712578" w:rsidP="00AD09F7">
            <w:pPr>
              <w:pStyle w:val="a00"/>
              <w:spacing w:before="0" w:beforeAutospacing="0" w:after="0" w:afterAutospacing="0"/>
              <w:rPr>
                <w:sz w:val="16"/>
                <w:szCs w:val="16"/>
              </w:rPr>
            </w:pPr>
            <w:r w:rsidRPr="00C75C19">
              <w:rPr>
                <w:rFonts w:eastAsia="Times New Roman"/>
                <w:color w:val="000000"/>
                <w:sz w:val="16"/>
                <w:szCs w:val="16"/>
              </w:rPr>
              <w:t>Отклонений показателей</w:t>
            </w:r>
            <w:r w:rsidRPr="00C75C19">
              <w:rPr>
                <w:sz w:val="16"/>
                <w:szCs w:val="16"/>
              </w:rPr>
              <w:t xml:space="preserve"> качества не зафиксировано.</w:t>
            </w:r>
          </w:p>
          <w:p w14:paraId="16C27A49" w14:textId="77777777" w:rsidR="00712578" w:rsidRPr="00C75C19" w:rsidRDefault="00712578" w:rsidP="00AD09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5C19">
              <w:rPr>
                <w:rFonts w:ascii="Times New Roman" w:hAnsi="Times New Roman" w:cs="Times New Roman"/>
                <w:sz w:val="16"/>
                <w:szCs w:val="16"/>
              </w:rPr>
              <w:t>Учреждений, в отношении которых принято решение о возврате части субсидии на основании невыполнения показателей, установленных муниципальными заданиями, нет.</w:t>
            </w:r>
          </w:p>
          <w:p w14:paraId="3DDA09A0" w14:textId="77777777" w:rsidR="00712578" w:rsidRPr="00C75C19" w:rsidRDefault="00712578" w:rsidP="00AD09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5C19">
              <w:rPr>
                <w:rFonts w:ascii="Times New Roman" w:hAnsi="Times New Roman" w:cs="Times New Roman"/>
                <w:b/>
                <w:sz w:val="16"/>
                <w:szCs w:val="16"/>
              </w:rPr>
              <w:t>По отрасли «Физкультура и спорт»</w:t>
            </w:r>
            <w:r w:rsidRPr="00C75C19">
              <w:rPr>
                <w:rFonts w:ascii="Times New Roman" w:hAnsi="Times New Roman" w:cs="Times New Roman"/>
                <w:sz w:val="16"/>
                <w:szCs w:val="16"/>
              </w:rPr>
              <w:t xml:space="preserve"> профинансировано 1 учреждение.</w:t>
            </w:r>
          </w:p>
          <w:p w14:paraId="70B0276C" w14:textId="0DB5D0F0" w:rsidR="00712578" w:rsidRPr="00C75C19" w:rsidRDefault="00712578" w:rsidP="00AD09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5C19">
              <w:rPr>
                <w:rFonts w:ascii="Times New Roman" w:hAnsi="Times New Roman" w:cs="Times New Roman"/>
                <w:sz w:val="16"/>
                <w:szCs w:val="16"/>
              </w:rPr>
              <w:t>По показателям объема и показателям качества муниципальные задания, установленные учреждению отрасли физической культуры и спорта, за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75C19">
              <w:rPr>
                <w:rFonts w:ascii="Times New Roman" w:hAnsi="Times New Roman" w:cs="Times New Roman"/>
                <w:sz w:val="16"/>
                <w:szCs w:val="16"/>
              </w:rPr>
              <w:t xml:space="preserve"> год выполнены в полном объеме.</w:t>
            </w:r>
          </w:p>
          <w:p w14:paraId="30E55472" w14:textId="77777777" w:rsidR="00712578" w:rsidRPr="00C75C19" w:rsidRDefault="00712578" w:rsidP="00AD09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5C19">
              <w:rPr>
                <w:rFonts w:ascii="Times New Roman" w:hAnsi="Times New Roman" w:cs="Times New Roman"/>
                <w:sz w:val="16"/>
                <w:szCs w:val="16"/>
              </w:rPr>
              <w:t>Решения о возврате части субсидии на основании невыполнения показателей муниципального задания нет.</w:t>
            </w:r>
          </w:p>
          <w:p w14:paraId="68E556C7" w14:textId="77777777" w:rsidR="00712578" w:rsidRPr="00C75C19" w:rsidRDefault="00712578" w:rsidP="00AD09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5C19">
              <w:rPr>
                <w:rFonts w:ascii="Times New Roman" w:hAnsi="Times New Roman" w:cs="Times New Roman"/>
                <w:b/>
                <w:sz w:val="16"/>
                <w:szCs w:val="16"/>
              </w:rPr>
              <w:t>По отрасли «Средства массовой информации»</w:t>
            </w:r>
            <w:r w:rsidRPr="00C75C19">
              <w:rPr>
                <w:rFonts w:ascii="Times New Roman" w:hAnsi="Times New Roman" w:cs="Times New Roman"/>
                <w:sz w:val="16"/>
                <w:szCs w:val="16"/>
              </w:rPr>
              <w:t xml:space="preserve"> профинансировано 1 учреждение.</w:t>
            </w:r>
          </w:p>
          <w:p w14:paraId="413F076E" w14:textId="6399DAD7" w:rsidR="00712578" w:rsidRPr="00C75C19" w:rsidRDefault="00712578" w:rsidP="00AD09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75C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Муниципальное задание по муниципальному автономному учреждению «Редакция газеты» «Вачская газ</w:t>
            </w:r>
            <w:r w:rsidRPr="00C75C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ета»» за 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C75C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 выполнено в полном объеме, в пределах допустимого отклонения 5%. </w:t>
            </w:r>
          </w:p>
          <w:p w14:paraId="2A0CD975" w14:textId="77777777" w:rsidR="00712578" w:rsidRPr="00C75C19" w:rsidRDefault="00712578" w:rsidP="00AD0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5C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Показатели качества работы составили 104,4%, что так же является допустимо возможным (отклонение в пределах возможных 5 % установленных в муниципальном задании).</w:t>
            </w:r>
          </w:p>
          <w:p w14:paraId="49FF36D1" w14:textId="3DDE8AEC" w:rsidR="00712578" w:rsidRDefault="00712578" w:rsidP="00AD09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5C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Решения о возврате части субсидии на основании невыполнения показателей, установленных муниципальным задани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</w:t>
            </w:r>
            <w:r w:rsidRPr="00C75C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принято не было. </w:t>
            </w:r>
          </w:p>
          <w:p w14:paraId="1D84457F" w14:textId="63D59360" w:rsidR="00712578" w:rsidRDefault="00712578" w:rsidP="00AD09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5C19">
              <w:rPr>
                <w:rFonts w:ascii="Times New Roman" w:hAnsi="Times New Roman" w:cs="Times New Roman"/>
                <w:b/>
                <w:sz w:val="16"/>
                <w:szCs w:val="16"/>
              </w:rPr>
              <w:t>По отрасли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34A65">
              <w:rPr>
                <w:rFonts w:ascii="Times New Roman" w:hAnsi="Times New Roman" w:cs="Times New Roman"/>
                <w:b/>
                <w:sz w:val="16"/>
                <w:szCs w:val="16"/>
              </w:rPr>
              <w:t>«Туризм»</w:t>
            </w:r>
            <w:r w:rsidRPr="00C75C19">
              <w:rPr>
                <w:rFonts w:ascii="Times New Roman" w:hAnsi="Times New Roman" w:cs="Times New Roman"/>
                <w:sz w:val="16"/>
                <w:szCs w:val="16"/>
              </w:rPr>
              <w:t xml:space="preserve"> профинансировано 1 учреждение.</w:t>
            </w:r>
          </w:p>
          <w:p w14:paraId="442D043D" w14:textId="77777777" w:rsidR="00712578" w:rsidRPr="00111260" w:rsidRDefault="00712578" w:rsidP="00AD09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1260">
              <w:rPr>
                <w:rFonts w:ascii="Times New Roman" w:hAnsi="Times New Roman" w:cs="Times New Roman"/>
                <w:sz w:val="16"/>
                <w:szCs w:val="16"/>
              </w:rPr>
              <w:t>Муниципальное задание по муниципальному автономному учреждению «МАУ «ЦРТ Вачского муниципального округа»» за 2025 год выполнено в полном объеме, в пределах допустимого отклонения 5%. Показатель качества работы «Уровень удовлетворенности услугой» исполнен на 100% установленных в муниципальном задании.</w:t>
            </w:r>
          </w:p>
          <w:p w14:paraId="5A3FDB4F" w14:textId="30096742" w:rsidR="00712578" w:rsidRPr="00883711" w:rsidRDefault="00712578" w:rsidP="00A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260">
              <w:rPr>
                <w:rFonts w:ascii="Times New Roman" w:hAnsi="Times New Roman" w:cs="Times New Roman"/>
                <w:sz w:val="16"/>
                <w:szCs w:val="16"/>
              </w:rPr>
              <w:t>Решения о возврате части субсидии на основании невыполнения показателей, установленных муниципальными заданиями, принято не было.</w:t>
            </w:r>
          </w:p>
        </w:tc>
      </w:tr>
      <w:tr w:rsidR="00712578" w:rsidRPr="00883711" w14:paraId="72093562" w14:textId="77777777" w:rsidTr="00033721">
        <w:trPr>
          <w:trHeight w:val="1470"/>
        </w:trPr>
        <w:tc>
          <w:tcPr>
            <w:tcW w:w="456" w:type="dxa"/>
            <w:shd w:val="clear" w:color="auto" w:fill="auto"/>
            <w:vAlign w:val="center"/>
            <w:hideMark/>
          </w:tcPr>
          <w:p w14:paraId="02564AF5" w14:textId="6245CFB4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5.2.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4386431D" w14:textId="7CE280FA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оценки потребности в муниципальных услугах и учета ее результатов при формировании проектов муниципальных заданий на оказание муниципальных услуг (выполнение работ)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4FE1790F" w14:textId="254D6009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Ежегодно при формировании проекта бюджета</w:t>
            </w:r>
          </w:p>
        </w:tc>
        <w:tc>
          <w:tcPr>
            <w:tcW w:w="1369" w:type="dxa"/>
            <w:vMerge/>
            <w:vAlign w:val="center"/>
            <w:hideMark/>
          </w:tcPr>
          <w:p w14:paraId="1F20CB1F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81D20F4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Учет результатов ежегодной оценки потребности в предоставлении  муниципальных услуг, при формировании расходной части бюджета на очередной финансовый год и плановый период</w:t>
            </w:r>
          </w:p>
        </w:tc>
        <w:tc>
          <w:tcPr>
            <w:tcW w:w="3902" w:type="dxa"/>
            <w:shd w:val="clear" w:color="auto" w:fill="auto"/>
            <w:noWrap/>
            <w:vAlign w:val="center"/>
          </w:tcPr>
          <w:p w14:paraId="23A33B80" w14:textId="39A76EDE" w:rsidR="00712578" w:rsidRPr="00B05604" w:rsidRDefault="00712578" w:rsidP="00A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5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 формировании расходной части бюджета на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B05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B05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B05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 была проведена оценка потребности 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B05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униципальных услугах (работах), оказываемых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(выполняемых)</w:t>
            </w:r>
            <w:r w:rsidRPr="00B05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учреждениями Вачского муниципального округа.</w:t>
            </w:r>
          </w:p>
          <w:p w14:paraId="482E54A6" w14:textId="77777777" w:rsidR="00712578" w:rsidRPr="00B05604" w:rsidRDefault="00712578" w:rsidP="00A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5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итогам проведенной оценки установлено, что все услуги, оказываемые бюджетными и автономным учреждениями подведомственными администрации Вачского муниципального округа востребованы, и актуальны для населения округа.</w:t>
            </w:r>
          </w:p>
          <w:p w14:paraId="7BBBE33A" w14:textId="6B72F2D4" w:rsidR="00712578" w:rsidRPr="00883711" w:rsidRDefault="00712578" w:rsidP="00A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5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Результаты оценки потребности в предоставлении муниципальных услуг (работ) были учтены при составлении бюджета Вачского муниципального округа на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026</w:t>
            </w:r>
            <w:r w:rsidRPr="00B05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B05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B05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годов.</w:t>
            </w:r>
          </w:p>
        </w:tc>
      </w:tr>
      <w:tr w:rsidR="00712578" w:rsidRPr="00883711" w14:paraId="61D95475" w14:textId="77777777" w:rsidTr="00033721">
        <w:trPr>
          <w:trHeight w:val="2334"/>
        </w:trPr>
        <w:tc>
          <w:tcPr>
            <w:tcW w:w="456" w:type="dxa"/>
            <w:shd w:val="clear" w:color="auto" w:fill="auto"/>
            <w:vAlign w:val="center"/>
            <w:hideMark/>
          </w:tcPr>
          <w:p w14:paraId="6651E09E" w14:textId="0878B4F8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5.3.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6E22FC84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Оценка соответствия качества фактически предоставляемых муниципальных услуг стандартам качества муниципальных услуг 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4F3E3C1A" w14:textId="77777777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Ежегодно (Два раза в год (за 1 полугодие- до 1 августа текущего года, по итогам года-  до 1 марта следующего за отчетным))</w:t>
            </w:r>
          </w:p>
        </w:tc>
        <w:tc>
          <w:tcPr>
            <w:tcW w:w="1369" w:type="dxa"/>
            <w:vMerge/>
            <w:vAlign w:val="center"/>
            <w:hideMark/>
          </w:tcPr>
          <w:p w14:paraId="21949DDE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5D79211E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Выявление степени удовлетворения населения Вачского муниципального округа Нижегородской области качеством предоставляемых муниципальных услуг, оценка деятельности учреждений, предоставляющих муниципальные услуги, финансируемые из бюджета; разработка мер, направленных на повышение качества предоставляемых муниципальных услуг</w:t>
            </w:r>
          </w:p>
        </w:tc>
        <w:tc>
          <w:tcPr>
            <w:tcW w:w="3902" w:type="dxa"/>
            <w:shd w:val="clear" w:color="auto" w:fill="auto"/>
            <w:noWrap/>
            <w:vAlign w:val="center"/>
          </w:tcPr>
          <w:p w14:paraId="7AA3BC66" w14:textId="24E60B34" w:rsidR="00712578" w:rsidRPr="001866EA" w:rsidRDefault="00712578" w:rsidP="00AD0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6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Оценка соответствия качества фактически предоставляемых муниципальных услуг стандартам качества муниципальных услуг за 2025 год проведена по всем муниципальным услугам (работам), оказываемым учреждениями образования, культуры и СМИ Вачского муниципального округа.</w:t>
            </w:r>
          </w:p>
          <w:p w14:paraId="15E78C27" w14:textId="6C3A819E" w:rsidR="00712578" w:rsidRDefault="00712578" w:rsidP="00AD09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866EA">
              <w:rPr>
                <w:rFonts w:ascii="Times New Roman" w:hAnsi="Times New Roman" w:cs="Times New Roman"/>
                <w:sz w:val="16"/>
                <w:szCs w:val="16"/>
              </w:rPr>
              <w:t>Для оценки были использованы критерии стандартов качества муниципальных услуг, которые установлены Постановлением администрации Вачского муниципального округа Нижегородской области от 04.07.2023г. №818 «Об утверждении стандартов качества предоставления муниципальных услуг (выполнения работ) по видам муниципальных услуг (работ) (культура, образование, средства массовой информации)» (с изменениями от 24.11.2023г. №1665).</w:t>
            </w:r>
          </w:p>
          <w:p w14:paraId="098280D5" w14:textId="77777777" w:rsidR="00712578" w:rsidRPr="001866EA" w:rsidRDefault="00712578" w:rsidP="00AD09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866EA">
              <w:rPr>
                <w:rFonts w:ascii="Times New Roman" w:hAnsi="Times New Roman" w:cs="Times New Roman"/>
                <w:sz w:val="16"/>
                <w:szCs w:val="16"/>
              </w:rPr>
              <w:t>По итогам проведенного опроса потребителей муниципальных услуг (работ), о качестве оказания предоставляемых услуг было зафиксировано 6 отрицательных оценок.</w:t>
            </w:r>
          </w:p>
          <w:p w14:paraId="6E9525F8" w14:textId="77777777" w:rsidR="00712578" w:rsidRPr="001866EA" w:rsidRDefault="00712578" w:rsidP="00AD09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866EA">
              <w:rPr>
                <w:rFonts w:ascii="Times New Roman" w:hAnsi="Times New Roman" w:cs="Times New Roman"/>
                <w:sz w:val="16"/>
                <w:szCs w:val="16"/>
              </w:rPr>
              <w:t xml:space="preserve">Жалоб на качество предоставляемых услуг в отчетном периоде не поступало. </w:t>
            </w:r>
          </w:p>
          <w:p w14:paraId="6ADE9CF1" w14:textId="77777777" w:rsidR="00712578" w:rsidRPr="001866EA" w:rsidRDefault="00712578" w:rsidP="00AD09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866EA">
              <w:rPr>
                <w:rFonts w:ascii="Times New Roman" w:hAnsi="Times New Roman" w:cs="Times New Roman"/>
                <w:sz w:val="16"/>
                <w:szCs w:val="16"/>
              </w:rPr>
              <w:t xml:space="preserve">Оценка соответствия качества фактически предоставляемых муниципальных услуг стандартам качества муниципальных услуг за 2025 год показала следующее: </w:t>
            </w:r>
          </w:p>
          <w:p w14:paraId="7937C182" w14:textId="77777777" w:rsidR="00712578" w:rsidRPr="001866EA" w:rsidRDefault="00712578" w:rsidP="00AD09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866EA">
              <w:rPr>
                <w:rFonts w:ascii="Times New Roman" w:hAnsi="Times New Roman" w:cs="Times New Roman"/>
                <w:sz w:val="16"/>
                <w:szCs w:val="16"/>
              </w:rPr>
              <w:t>- все муниципальные услуги (работы), оказываемые учреждениями образования, культуры, СМИ и туризма Вачского муниципального округа в полном объеме соответствуют Стандартам качества предоставления муниципальных услуг, утвержденным администрацией Вачского муниципального округа Нижегородской области.</w:t>
            </w:r>
          </w:p>
          <w:p w14:paraId="6B079115" w14:textId="77777777" w:rsidR="00712578" w:rsidRPr="001866EA" w:rsidRDefault="00712578" w:rsidP="00AD09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866EA">
              <w:rPr>
                <w:rFonts w:ascii="Times New Roman" w:hAnsi="Times New Roman" w:cs="Times New Roman"/>
                <w:sz w:val="16"/>
                <w:szCs w:val="16"/>
              </w:rPr>
              <w:t>В 2025 году учреждениями проводился опрос потребителей муниципальных услуг (работ), изучение мнения населения о качестве оказания услуг, предоставляемых учреждениями, который показал, что их деятельность можно считать удовлетворительной по всем показателям.</w:t>
            </w:r>
          </w:p>
          <w:p w14:paraId="193183D8" w14:textId="77777777" w:rsidR="00712578" w:rsidRPr="001866EA" w:rsidRDefault="00712578" w:rsidP="00AD09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866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обобщенным результатам отчетов главных распорядителей можно сделать вывод, что все муниципальные услуги (работы) соответствуют стандартам качества.</w:t>
            </w:r>
          </w:p>
          <w:p w14:paraId="5B8EEBEF" w14:textId="5C7CEF0E" w:rsidR="00712578" w:rsidRDefault="00712578" w:rsidP="00AD09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866EA">
              <w:rPr>
                <w:rFonts w:ascii="Times New Roman" w:hAnsi="Times New Roman" w:cs="Times New Roman"/>
                <w:sz w:val="16"/>
                <w:szCs w:val="16"/>
              </w:rPr>
              <w:t xml:space="preserve">По итогам проведенного опроса потребителей муниципальных услуг (работ), о качестве оказания предоставляемых услуг было зафиксировано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1866EA">
              <w:rPr>
                <w:rFonts w:ascii="Times New Roman" w:hAnsi="Times New Roman" w:cs="Times New Roman"/>
                <w:sz w:val="16"/>
                <w:szCs w:val="16"/>
              </w:rPr>
              <w:t xml:space="preserve"> отрицательных оценок.</w:t>
            </w:r>
          </w:p>
          <w:p w14:paraId="201507CF" w14:textId="176311EB" w:rsidR="00712578" w:rsidRPr="00883711" w:rsidRDefault="00712578" w:rsidP="00AD09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866EA">
              <w:rPr>
                <w:rFonts w:ascii="Times New Roman" w:hAnsi="Times New Roman" w:cs="Times New Roman"/>
                <w:sz w:val="16"/>
                <w:szCs w:val="16"/>
              </w:rPr>
              <w:t>Жалоб на качество предоставляемых услуг в отчетном периоде не поступало.</w:t>
            </w:r>
          </w:p>
        </w:tc>
      </w:tr>
      <w:tr w:rsidR="00712578" w:rsidRPr="00883711" w14:paraId="6D111036" w14:textId="77777777" w:rsidTr="00033721">
        <w:trPr>
          <w:trHeight w:val="225"/>
        </w:trPr>
        <w:tc>
          <w:tcPr>
            <w:tcW w:w="11483" w:type="dxa"/>
            <w:gridSpan w:val="6"/>
            <w:shd w:val="clear" w:color="auto" w:fill="auto"/>
            <w:noWrap/>
            <w:vAlign w:val="bottom"/>
            <w:hideMark/>
          </w:tcPr>
          <w:p w14:paraId="6989F88C" w14:textId="70952848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6. Осуществление контрольной деятельности</w:t>
            </w:r>
          </w:p>
        </w:tc>
      </w:tr>
      <w:tr w:rsidR="00712578" w:rsidRPr="00883711" w14:paraId="6DD5C96C" w14:textId="77777777" w:rsidTr="00033721">
        <w:trPr>
          <w:trHeight w:val="1433"/>
        </w:trPr>
        <w:tc>
          <w:tcPr>
            <w:tcW w:w="456" w:type="dxa"/>
            <w:shd w:val="clear" w:color="auto" w:fill="auto"/>
            <w:vAlign w:val="center"/>
            <w:hideMark/>
          </w:tcPr>
          <w:p w14:paraId="42A7E366" w14:textId="52EA0D00" w:rsidR="00712578" w:rsidRPr="00883711" w:rsidRDefault="00712578" w:rsidP="008F0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3DCB9C97" w14:textId="77777777" w:rsidR="00712578" w:rsidRPr="00883711" w:rsidRDefault="00712578" w:rsidP="008F0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внутреннего муниципального финансового контроля и контроля в сфере закупок в рамках своей компетенции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47433335" w14:textId="77777777" w:rsidR="00712578" w:rsidRPr="00883711" w:rsidRDefault="00712578" w:rsidP="008F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плана контрольной деятельности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  <w:hideMark/>
          </w:tcPr>
          <w:p w14:paraId="781056BC" w14:textId="77777777" w:rsidR="00712578" w:rsidRPr="00883711" w:rsidRDefault="00712578" w:rsidP="008F0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финансов администрации Вачского муниципального округа Нижегородской области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5DC6C60" w14:textId="77777777" w:rsidR="00712578" w:rsidRPr="00883711" w:rsidRDefault="00712578" w:rsidP="008F0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Соответствие количества проведенных контрольных мероприятий, количеству контрольных мероприятий, предусмотренных планами контрольной деятельности на соответствующий финансовый год (%)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733EDC5C" w14:textId="77777777" w:rsidR="008F012A" w:rsidRDefault="008F012A" w:rsidP="008F012A">
            <w:pPr>
              <w:pStyle w:val="Standard"/>
              <w:rPr>
                <w:rFonts w:ascii="Times New Roman" w:hAnsi="Times New Roman" w:cs="Times New Roman"/>
                <w:sz w:val="16"/>
                <w:szCs w:val="16"/>
              </w:rPr>
            </w:pPr>
            <w:r w:rsidRPr="00746132">
              <w:rPr>
                <w:rFonts w:ascii="Times New Roman" w:hAnsi="Times New Roman" w:cs="Times New Roman"/>
                <w:sz w:val="16"/>
                <w:szCs w:val="16"/>
              </w:rPr>
              <w:t>Согласно утвержденных планов контрольной деят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ельности в отчетном периоде за </w:t>
            </w:r>
            <w:r w:rsidRPr="00746132">
              <w:rPr>
                <w:rFonts w:ascii="Times New Roman" w:hAnsi="Times New Roman" w:cs="Times New Roman"/>
                <w:sz w:val="16"/>
                <w:szCs w:val="16"/>
              </w:rPr>
              <w:t>1 квартал 2026 год были проведены следующие контрольные мероприятия:</w:t>
            </w:r>
          </w:p>
          <w:p w14:paraId="3539E271" w14:textId="046A0B44" w:rsidR="008F012A" w:rsidRPr="008F012A" w:rsidRDefault="008F012A" w:rsidP="008F012A">
            <w:pPr>
              <w:pStyle w:val="Standard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F012A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За соблюдением бюджетного законодательства:</w:t>
            </w:r>
          </w:p>
          <w:p w14:paraId="08B0E5BE" w14:textId="72AFF8EA" w:rsidR="008F012A" w:rsidRPr="00746132" w:rsidRDefault="008F012A" w:rsidP="008F012A">
            <w:pPr>
              <w:pStyle w:val="ConsPlusNonformat"/>
              <w:rPr>
                <w:sz w:val="16"/>
                <w:szCs w:val="16"/>
              </w:rPr>
            </w:pPr>
            <w:r w:rsidRPr="00746132">
              <w:rPr>
                <w:rFonts w:ascii="Times New Roman" w:hAnsi="Times New Roman" w:cs="Times New Roman"/>
                <w:sz w:val="16"/>
                <w:szCs w:val="16"/>
              </w:rPr>
              <w:t xml:space="preserve">- выездная </w:t>
            </w:r>
            <w:r w:rsidRPr="00746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проверка </w:t>
            </w:r>
            <w:r w:rsidRPr="00746132">
              <w:rPr>
                <w:rFonts w:ascii="Times New Roman" w:hAnsi="Times New Roman" w:cs="Times New Roman"/>
                <w:sz w:val="16"/>
                <w:szCs w:val="16"/>
              </w:rPr>
              <w:t xml:space="preserve">соблюдения бюджетного законодательства и иных нормативных правовых актов, регулирующих бюджетные правоотношения, полноты и достоверности отчетности об исполнении муниципальных заданий </w:t>
            </w:r>
            <w:r w:rsidRPr="007461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2025 год в отношении </w:t>
            </w:r>
            <w:r w:rsidRPr="00746132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бюджетного дошкольного образовательного учреждения детский сад №1 «Берёзка. </w:t>
            </w:r>
          </w:p>
          <w:p w14:paraId="056A5197" w14:textId="1ACE4EF2" w:rsidR="008F012A" w:rsidRPr="00746132" w:rsidRDefault="008F012A" w:rsidP="008F012A">
            <w:pPr>
              <w:pStyle w:val="ConsPlusNonformat"/>
              <w:rPr>
                <w:sz w:val="16"/>
                <w:szCs w:val="16"/>
              </w:rPr>
            </w:pPr>
            <w:r w:rsidRPr="00746132">
              <w:rPr>
                <w:rFonts w:ascii="Times New Roman" w:hAnsi="Times New Roman" w:cs="Times New Roman"/>
                <w:sz w:val="16"/>
                <w:szCs w:val="16"/>
              </w:rPr>
              <w:t>- выездная проверка финансово-хозяйствен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ной деятельности за 2025 год и </w:t>
            </w:r>
            <w:r w:rsidRPr="00746132">
              <w:rPr>
                <w:rFonts w:ascii="Times New Roman" w:hAnsi="Times New Roman" w:cs="Times New Roman"/>
                <w:sz w:val="16"/>
                <w:szCs w:val="16"/>
              </w:rPr>
              <w:t xml:space="preserve">истекший период </w:t>
            </w:r>
            <w:r w:rsidR="009D3BC1" w:rsidRPr="00746132">
              <w:rPr>
                <w:rFonts w:ascii="Times New Roman" w:hAnsi="Times New Roman" w:cs="Times New Roman"/>
                <w:sz w:val="16"/>
                <w:szCs w:val="16"/>
              </w:rPr>
              <w:t>2026 в</w:t>
            </w:r>
            <w:r w:rsidRPr="00746132">
              <w:rPr>
                <w:rFonts w:ascii="Times New Roman" w:hAnsi="Times New Roman" w:cs="Times New Roman"/>
                <w:sz w:val="16"/>
                <w:szCs w:val="16"/>
              </w:rPr>
              <w:t xml:space="preserve"> отношении Муниципального бюджетного учреждения дополнительного образования «Детская школа искусств».</w:t>
            </w:r>
          </w:p>
          <w:p w14:paraId="5AC8BDBC" w14:textId="7EF58C8D" w:rsidR="008F012A" w:rsidRPr="00746132" w:rsidRDefault="008F012A" w:rsidP="008F012A">
            <w:pPr>
              <w:pStyle w:val="ConsPlusNonformat"/>
              <w:rPr>
                <w:sz w:val="16"/>
                <w:szCs w:val="16"/>
              </w:rPr>
            </w:pPr>
            <w:r w:rsidRPr="00746132">
              <w:rPr>
                <w:rFonts w:ascii="Times New Roman" w:hAnsi="Times New Roman" w:cs="Times New Roman"/>
                <w:sz w:val="16"/>
                <w:szCs w:val="16"/>
              </w:rPr>
              <w:t xml:space="preserve">- проверка соблюдения бюджетного законодательства и иных нормативных правовых актов, регулирующих бюджетные правоотношения, полноты и достоверности отчетности об исполнении муниципальных заданий </w:t>
            </w:r>
            <w:r w:rsidRPr="0074613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за </w:t>
            </w:r>
            <w:r w:rsidRPr="00746132">
              <w:rPr>
                <w:rFonts w:ascii="Times New Roman" w:hAnsi="Times New Roman" w:cs="Times New Roman"/>
                <w:sz w:val="16"/>
                <w:szCs w:val="16"/>
              </w:rPr>
              <w:t xml:space="preserve">2025 год и истекший период 2026 года в отношении </w:t>
            </w:r>
            <w:r w:rsidRPr="00746132">
              <w:rPr>
                <w:rFonts w:ascii="Times New Roman" w:hAnsi="Times New Roman" w:cs="Times New Roman"/>
                <w:bCs/>
                <w:sz w:val="16"/>
                <w:szCs w:val="16"/>
              </w:rPr>
              <w:t>муниципального бюджетного общеобразовательного учреждения Новосельской средней общеобразовательной школы имени Героя Советского Союза К.И. Ракутина.</w:t>
            </w:r>
            <w:r w:rsidRPr="007461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223B1C2" w14:textId="77777777" w:rsidR="008F012A" w:rsidRPr="00746132" w:rsidRDefault="008F012A" w:rsidP="008F012A">
            <w:pPr>
              <w:widowControl w:val="0"/>
              <w:spacing w:after="0" w:line="240" w:lineRule="auto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673EDD" w14:textId="77777777" w:rsidR="008F012A" w:rsidRPr="008F012A" w:rsidRDefault="008F012A" w:rsidP="008F012A">
            <w:pPr>
              <w:pStyle w:val="Standard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8F012A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За соблюдением законодательства при планировании и использования бюджетных средств связанных с осуществлением закупок:</w:t>
            </w:r>
          </w:p>
          <w:p w14:paraId="12FAF662" w14:textId="4F151C02" w:rsidR="008F012A" w:rsidRPr="008F012A" w:rsidRDefault="008F012A" w:rsidP="008F01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61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выездная проверка </w:t>
            </w:r>
            <w:r w:rsidRPr="007461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eastAsia="ru-RU"/>
              </w:rPr>
      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Вачского муниципального округа Нижегородской области в отношении</w:t>
            </w:r>
            <w:r w:rsidRPr="007461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61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Филинского административно-территориального </w:t>
            </w:r>
            <w:r w:rsidR="009D3BC1" w:rsidRPr="007461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</w:t>
            </w:r>
            <w:r w:rsidRPr="007461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Администрации Вачского муниципального </w:t>
            </w:r>
            <w:r w:rsidRPr="008F0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округа Нижегородской области» </w:t>
            </w:r>
            <w:r w:rsidRPr="008F012A">
              <w:rPr>
                <w:rFonts w:ascii="Times New Roman" w:hAnsi="Times New Roman" w:cs="Times New Roman"/>
                <w:sz w:val="16"/>
                <w:szCs w:val="16"/>
              </w:rPr>
              <w:t xml:space="preserve">за </w:t>
            </w:r>
            <w:r w:rsidRPr="008F012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2025 год и истекший период 2026 года.</w:t>
            </w:r>
          </w:p>
          <w:p w14:paraId="40CAD130" w14:textId="77777777" w:rsidR="008F012A" w:rsidRPr="008F012A" w:rsidRDefault="008F012A" w:rsidP="008F01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A6CAA2" w14:textId="77777777" w:rsidR="008F012A" w:rsidRPr="008F012A" w:rsidRDefault="008F012A" w:rsidP="008F012A">
            <w:pPr>
              <w:pStyle w:val="Standard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shd w:val="clear" w:color="auto" w:fill="FFFFFF"/>
              </w:rPr>
            </w:pPr>
            <w:r w:rsidRPr="008F012A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shd w:val="clear" w:color="auto" w:fill="FFFFFF"/>
              </w:rPr>
              <w:t>За соблюдением законодательства о контрактной системе:</w:t>
            </w:r>
          </w:p>
          <w:p w14:paraId="598DFC96" w14:textId="195395EC" w:rsidR="008F012A" w:rsidRPr="008F012A" w:rsidRDefault="008F012A" w:rsidP="008F012A">
            <w:pPr>
              <w:pStyle w:val="Standard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shd w:val="clear" w:color="auto" w:fill="FFFFFF"/>
              </w:rPr>
            </w:pPr>
            <w:r w:rsidRPr="008F012A">
              <w:rPr>
                <w:rStyle w:val="af2"/>
                <w:rFonts w:ascii="Times New Roman" w:eastAsia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 xml:space="preserve"> -</w:t>
            </w:r>
            <w:r w:rsidRPr="008F012A">
              <w:rPr>
                <w:rStyle w:val="af2"/>
                <w:rFonts w:ascii="Times New Roman" w:eastAsia="Times New Roman" w:hAnsi="Times New Roman" w:cs="Times New Roman"/>
                <w:kern w:val="0"/>
                <w:sz w:val="16"/>
                <w:szCs w:val="16"/>
                <w:shd w:val="clear" w:color="auto" w:fill="FFFFFF"/>
              </w:rPr>
              <w:t xml:space="preserve"> выездная проверка</w:t>
            </w:r>
            <w:r w:rsidRPr="008F012A">
              <w:rPr>
                <w:rStyle w:val="af2"/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по предмету </w:t>
            </w:r>
            <w:r w:rsidRPr="008F012A">
              <w:rPr>
                <w:rFonts w:ascii="Times New Roman" w:hAnsi="Times New Roman" w:cs="Times New Roman"/>
                <w:sz w:val="16"/>
                <w:szCs w:val="16"/>
              </w:rPr>
              <w:t>соблюдение требований законодательства Российской Федерации и иных нормативных правовых актов о контрактной системе в сфере закупок товаров, работ, услуг для муниципальных нужд</w:t>
            </w:r>
            <w:r w:rsidRPr="008F012A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в отношении Филинского административно-территориального отдела администрации Вачского муниципального округа Нижегородской области за период</w:t>
            </w:r>
            <w:r w:rsidRPr="008F012A">
              <w:rPr>
                <w:rFonts w:ascii="Times New Roman" w:hAnsi="Times New Roman" w:cs="Times New Roman"/>
                <w:sz w:val="16"/>
                <w:szCs w:val="16"/>
              </w:rPr>
              <w:t xml:space="preserve"> с 01 января 2024 по 23 января 2026 года.</w:t>
            </w:r>
          </w:p>
          <w:p w14:paraId="60A3252B" w14:textId="29C895DA" w:rsidR="00712578" w:rsidRPr="00883711" w:rsidRDefault="00712578" w:rsidP="008F0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12578" w:rsidRPr="00883711" w14:paraId="774581B8" w14:textId="77777777" w:rsidTr="008F012A">
        <w:trPr>
          <w:trHeight w:val="981"/>
        </w:trPr>
        <w:tc>
          <w:tcPr>
            <w:tcW w:w="456" w:type="dxa"/>
            <w:shd w:val="clear" w:color="auto" w:fill="auto"/>
            <w:vAlign w:val="center"/>
            <w:hideMark/>
          </w:tcPr>
          <w:p w14:paraId="3D9D162B" w14:textId="70E3A2D5" w:rsidR="00712578" w:rsidRPr="004A5A2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 w:colFirst="0" w:colLast="5"/>
            <w:r w:rsidRPr="004A5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4E6832AE" w14:textId="77777777" w:rsidR="00712578" w:rsidRPr="004A5A2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5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контроля в части казначейского исполнения, контроль в ч.5.ст.99 ФЗ от 05.04.2013 №44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0E6D2CDC" w14:textId="37A525A7" w:rsidR="00712578" w:rsidRPr="004A5A2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5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369" w:type="dxa"/>
            <w:vMerge/>
            <w:vAlign w:val="center"/>
            <w:hideMark/>
          </w:tcPr>
          <w:p w14:paraId="0D5E99C4" w14:textId="77777777" w:rsidR="00712578" w:rsidRPr="004A5A2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13D9D45" w14:textId="77777777" w:rsidR="00712578" w:rsidRPr="004A5A2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5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Высокий показатель качества подготовки платежных документов (правильное оформление заявки и подтверждающих документов, предоставление </w:t>
            </w:r>
            <w:r w:rsidRPr="004A5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подтверждающих документов) (%)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2DB32EA0" w14:textId="77777777" w:rsidR="008F012A" w:rsidRPr="004A5A21" w:rsidRDefault="008F012A" w:rsidP="008F0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5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 целях повышения эффективности и результативности осуществляемых операций управлением финансов осуществляется контроль в части казначейского исполнения, контроль в ч.5. ст.99 ФЗ от 05.04.2013 №44 «О контрактной системе в сфере закупок товаров, работ, услуг для обеспечения государственных и муниципальных нужд». </w:t>
            </w:r>
          </w:p>
          <w:p w14:paraId="4E10877E" w14:textId="074CD683" w:rsidR="008F012A" w:rsidRPr="004A5A21" w:rsidRDefault="008F012A" w:rsidP="008F0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5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 1 квартал 2025 года в программном комплексе ЕИС обработано </w:t>
            </w:r>
            <w:r w:rsidR="004A5A21" w:rsidRPr="004A5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</w:t>
            </w:r>
            <w:r w:rsidRPr="004A5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документ</w:t>
            </w:r>
            <w:r w:rsidR="004A5A21" w:rsidRPr="004A5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r w:rsidRPr="004A5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в том числе: </w:t>
            </w:r>
          </w:p>
          <w:p w14:paraId="6B2ABEAB" w14:textId="37B8CC39" w:rsidR="008F012A" w:rsidRPr="004A5A21" w:rsidRDefault="008F012A" w:rsidP="008F012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5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 график: контроль пройден – 2</w:t>
            </w:r>
            <w:r w:rsidR="004A5A21" w:rsidRPr="004A5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4A5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8, отказано – </w:t>
            </w:r>
            <w:r w:rsidR="004A5A21" w:rsidRPr="004A5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4A5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; </w:t>
            </w:r>
          </w:p>
          <w:p w14:paraId="195BF151" w14:textId="58F89864" w:rsidR="00712578" w:rsidRPr="004A5A21" w:rsidRDefault="008F012A" w:rsidP="004A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5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информации о контрактах: контроль пройден -</w:t>
            </w:r>
            <w:r w:rsidR="004A5A21" w:rsidRPr="004A5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</w:t>
            </w:r>
            <w:r w:rsidRPr="004A5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отказано – </w:t>
            </w:r>
            <w:r w:rsidR="004A5A21" w:rsidRPr="004A5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  <w:r w:rsidRPr="004A5A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bookmarkEnd w:id="0"/>
      <w:tr w:rsidR="008F012A" w:rsidRPr="00883711" w14:paraId="5AF51A9F" w14:textId="77777777" w:rsidTr="00D04FBC">
        <w:trPr>
          <w:trHeight w:val="116"/>
        </w:trPr>
        <w:tc>
          <w:tcPr>
            <w:tcW w:w="11483" w:type="dxa"/>
            <w:gridSpan w:val="6"/>
            <w:shd w:val="clear" w:color="auto" w:fill="auto"/>
            <w:noWrap/>
            <w:vAlign w:val="bottom"/>
            <w:hideMark/>
          </w:tcPr>
          <w:p w14:paraId="519BA426" w14:textId="48FA1F58" w:rsidR="008F012A" w:rsidRPr="008F012A" w:rsidRDefault="008F012A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7. Обеспечение открытости и прозрачности деятельности ОМСУ</w:t>
            </w:r>
          </w:p>
        </w:tc>
      </w:tr>
      <w:tr w:rsidR="00712578" w:rsidRPr="00883711" w14:paraId="14EC1C43" w14:textId="77777777" w:rsidTr="008F012A">
        <w:trPr>
          <w:trHeight w:val="1749"/>
        </w:trPr>
        <w:tc>
          <w:tcPr>
            <w:tcW w:w="456" w:type="dxa"/>
            <w:shd w:val="clear" w:color="auto" w:fill="auto"/>
            <w:vAlign w:val="center"/>
            <w:hideMark/>
          </w:tcPr>
          <w:p w14:paraId="080B3748" w14:textId="4E878B1F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31547FC0" w14:textId="50FB8C9E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размещения информации на официальном сайте администрации Вачского муниципального округа в ИКТ «Интернет», на едином портале бюджетной системы Российской Федерации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11B5C43E" w14:textId="4F6596AA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постоянной основе в течение 2026-2028 годов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14:paraId="053629B0" w14:textId="77777777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Структурные подразделения администрации Вачского муниципального округа Нижегородской области 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9E9EA08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Размещение информации на официальном сайте администрации Вачского муниципального округа http://www.vacha-nnov.ru</w:t>
            </w:r>
          </w:p>
        </w:tc>
        <w:tc>
          <w:tcPr>
            <w:tcW w:w="3902" w:type="dxa"/>
            <w:shd w:val="clear" w:color="auto" w:fill="auto"/>
            <w:vAlign w:val="center"/>
            <w:hideMark/>
          </w:tcPr>
          <w:p w14:paraId="0FF3BED1" w14:textId="1F28ECBC" w:rsidR="00712578" w:rsidRPr="00883711" w:rsidRDefault="008F012A" w:rsidP="008F0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Вся предусмотренная к опубликованию информация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92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размещается на официальном сайте администрации Вачского муниципального округа Нижегородской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также </w:t>
            </w:r>
            <w:r w:rsidRPr="008F4A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едином портале бюджетной системы Российской</w:t>
            </w:r>
            <w:r w:rsidRPr="004357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Федерации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(ЕПБС) </w:t>
            </w:r>
            <w:r w:rsidRPr="00A92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полном объеме без нарушения сроков.</w:t>
            </w:r>
            <w:r w:rsidRPr="004357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712578" w:rsidRPr="00883711" w14:paraId="2B25138C" w14:textId="77777777" w:rsidTr="00033721">
        <w:trPr>
          <w:trHeight w:val="225"/>
        </w:trPr>
        <w:tc>
          <w:tcPr>
            <w:tcW w:w="11483" w:type="dxa"/>
            <w:gridSpan w:val="6"/>
            <w:shd w:val="clear" w:color="auto" w:fill="auto"/>
            <w:noWrap/>
            <w:vAlign w:val="bottom"/>
            <w:hideMark/>
          </w:tcPr>
          <w:p w14:paraId="55A4B79E" w14:textId="064F3FA1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83711">
              <w:br w:type="page"/>
            </w:r>
            <w:r w:rsidRPr="008837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III. Совершенствование долговой политики</w:t>
            </w:r>
          </w:p>
        </w:tc>
      </w:tr>
      <w:tr w:rsidR="00712578" w:rsidRPr="00883711" w14:paraId="6696E482" w14:textId="77777777" w:rsidTr="00033721">
        <w:trPr>
          <w:trHeight w:val="225"/>
        </w:trPr>
        <w:tc>
          <w:tcPr>
            <w:tcW w:w="11483" w:type="dxa"/>
            <w:gridSpan w:val="6"/>
            <w:shd w:val="clear" w:color="auto" w:fill="auto"/>
            <w:noWrap/>
            <w:vAlign w:val="bottom"/>
            <w:hideMark/>
          </w:tcPr>
          <w:p w14:paraId="486BB1F5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 Прогноз исполнения при осуществлении расходов</w:t>
            </w:r>
          </w:p>
        </w:tc>
      </w:tr>
      <w:tr w:rsidR="00712578" w:rsidRPr="00883711" w14:paraId="2FC2B12F" w14:textId="77777777" w:rsidTr="00033721">
        <w:trPr>
          <w:trHeight w:val="1512"/>
        </w:trPr>
        <w:tc>
          <w:tcPr>
            <w:tcW w:w="456" w:type="dxa"/>
            <w:shd w:val="clear" w:color="auto" w:fill="auto"/>
            <w:vAlign w:val="center"/>
            <w:hideMark/>
          </w:tcPr>
          <w:p w14:paraId="45C94DA1" w14:textId="77777777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56B403BC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кассового плана исполнения бюджета, исключающего возможность возникновения кассового разрыва при исполнении бюджета, осуществление расходов в пределах плана с учетом остатка средств на счете.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530032DD" w14:textId="607761CD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Ежеквартально в течении 2026-2028 годов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  <w:hideMark/>
          </w:tcPr>
          <w:p w14:paraId="49AC33E2" w14:textId="77777777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финансов администрации Вачского муниципального округа Нижегородской области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E4F38A5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кассового плана, недопущение возникновения кассового разрыва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5244539A" w14:textId="77777777" w:rsidR="008F012A" w:rsidRPr="00A92824" w:rsidRDefault="008F012A" w:rsidP="008F012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2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Порядок составления и ведения кассового плана регламентируется Приказом управления финансов администрации Вачского муниципального округа Нижегородской области от 19.01.2023 года №14 «Об утверждении Порядка составления и ведения кассового плана исполнения бюджета муниципального округа». </w:t>
            </w:r>
          </w:p>
          <w:p w14:paraId="7E842D16" w14:textId="5739A2BB" w:rsidR="00712578" w:rsidRPr="00883711" w:rsidRDefault="008F012A" w:rsidP="008F0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рамках совершенствования организации кассового исполнения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A92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постоянно проводи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лась</w:t>
            </w:r>
            <w:r w:rsidRPr="00A92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работа по недопущению временных кассовых разрывов, возникающих при исполнении бюджета муниципального округа. Финансирование расходов производилось на основании показателей кассового плана исполнения бюджета муниципального округа.</w:t>
            </w:r>
          </w:p>
        </w:tc>
      </w:tr>
      <w:tr w:rsidR="00712578" w:rsidRPr="00883711" w14:paraId="6F2CBA83" w14:textId="77777777" w:rsidTr="00033721">
        <w:trPr>
          <w:trHeight w:val="839"/>
        </w:trPr>
        <w:tc>
          <w:tcPr>
            <w:tcW w:w="456" w:type="dxa"/>
            <w:shd w:val="clear" w:color="auto" w:fill="auto"/>
            <w:vAlign w:val="center"/>
            <w:hideMark/>
          </w:tcPr>
          <w:p w14:paraId="2DEAEFCE" w14:textId="77777777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485" w:type="dxa"/>
            <w:shd w:val="clear" w:color="auto" w:fill="auto"/>
            <w:vAlign w:val="center"/>
            <w:hideMark/>
          </w:tcPr>
          <w:p w14:paraId="28FE7559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Привлечение бюджетного кредита в случае необходимости на цели предусматриваемые законодательством.</w:t>
            </w:r>
          </w:p>
        </w:tc>
        <w:tc>
          <w:tcPr>
            <w:tcW w:w="1503" w:type="dxa"/>
            <w:shd w:val="clear" w:color="auto" w:fill="auto"/>
            <w:vAlign w:val="center"/>
            <w:hideMark/>
          </w:tcPr>
          <w:p w14:paraId="44E8A40F" w14:textId="77777777" w:rsidR="00712578" w:rsidRPr="00883711" w:rsidRDefault="00712578" w:rsidP="0071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69" w:type="dxa"/>
            <w:vMerge/>
            <w:vAlign w:val="center"/>
            <w:hideMark/>
          </w:tcPr>
          <w:p w14:paraId="2BEAAD4A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506C18D" w14:textId="77777777" w:rsidR="00712578" w:rsidRPr="00883711" w:rsidRDefault="00712578" w:rsidP="007125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7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Погашение (уменьшение объема) муниципального долга Вачского муниципального округа</w:t>
            </w:r>
          </w:p>
        </w:tc>
        <w:tc>
          <w:tcPr>
            <w:tcW w:w="3902" w:type="dxa"/>
            <w:shd w:val="clear" w:color="auto" w:fill="auto"/>
            <w:vAlign w:val="center"/>
          </w:tcPr>
          <w:p w14:paraId="64458C2E" w14:textId="6B6FF6FC" w:rsidR="008F012A" w:rsidRDefault="008F012A" w:rsidP="008F01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2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состоянию на 01 апреля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A928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года муниципальный долг у Вачского муниципального округа Нижегородской области отсутствует.</w:t>
            </w:r>
          </w:p>
          <w:p w14:paraId="5B1FB154" w14:textId="77777777" w:rsidR="008F012A" w:rsidRDefault="008F012A" w:rsidP="008F01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4E48E1D" w14:textId="69E2BD94" w:rsidR="00712578" w:rsidRPr="00883711" w:rsidRDefault="008F012A" w:rsidP="008F01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 случае необходимости, будет рассматриваться вопрос 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привлечение бюджетного кредита </w:t>
            </w:r>
            <w:r w:rsidRPr="008E74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цели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8E74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предусматриваемые законодательство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</w:t>
            </w:r>
          </w:p>
        </w:tc>
      </w:tr>
    </w:tbl>
    <w:p w14:paraId="34377EF9" w14:textId="0C212232" w:rsidR="00405C2F" w:rsidRPr="00883711" w:rsidRDefault="00405C2F" w:rsidP="00405C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3711">
        <w:rPr>
          <w:rFonts w:ascii="Times New Roman" w:hAnsi="Times New Roman" w:cs="Times New Roman"/>
          <w:sz w:val="28"/>
          <w:szCs w:val="28"/>
        </w:rPr>
        <w:t>______________________________</w:t>
      </w:r>
    </w:p>
    <w:sectPr w:rsidR="00405C2F" w:rsidRPr="00883711" w:rsidSect="000337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5DEF2" w14:textId="77777777" w:rsidR="00DB22CE" w:rsidRDefault="00DB22CE" w:rsidP="001E2FEB">
      <w:pPr>
        <w:spacing w:after="0" w:line="240" w:lineRule="auto"/>
      </w:pPr>
      <w:r>
        <w:separator/>
      </w:r>
    </w:p>
  </w:endnote>
  <w:endnote w:type="continuationSeparator" w:id="0">
    <w:p w14:paraId="3903B4F9" w14:textId="77777777" w:rsidR="00DB22CE" w:rsidRDefault="00DB22CE" w:rsidP="001E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D634F" w14:textId="77777777" w:rsidR="00DB22CE" w:rsidRDefault="00DB22CE" w:rsidP="001E2FEB">
      <w:pPr>
        <w:spacing w:after="0" w:line="240" w:lineRule="auto"/>
      </w:pPr>
      <w:r>
        <w:separator/>
      </w:r>
    </w:p>
  </w:footnote>
  <w:footnote w:type="continuationSeparator" w:id="0">
    <w:p w14:paraId="11C96B41" w14:textId="77777777" w:rsidR="00DB22CE" w:rsidRDefault="00DB22CE" w:rsidP="001E2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7C8"/>
    <w:multiLevelType w:val="hybridMultilevel"/>
    <w:tmpl w:val="2AAC6826"/>
    <w:lvl w:ilvl="0" w:tplc="DB68A2B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20B9110A"/>
    <w:multiLevelType w:val="hybridMultilevel"/>
    <w:tmpl w:val="810C511A"/>
    <w:lvl w:ilvl="0" w:tplc="C7DE464E">
      <w:start w:val="1"/>
      <w:numFmt w:val="decimal"/>
      <w:lvlText w:val="%1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22DB630B"/>
    <w:multiLevelType w:val="hybridMultilevel"/>
    <w:tmpl w:val="76E0DF2E"/>
    <w:lvl w:ilvl="0" w:tplc="A92454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B21FD"/>
    <w:multiLevelType w:val="hybridMultilevel"/>
    <w:tmpl w:val="FEF23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EE1DDC"/>
    <w:multiLevelType w:val="hybridMultilevel"/>
    <w:tmpl w:val="D50A9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CE2DA3"/>
    <w:multiLevelType w:val="multilevel"/>
    <w:tmpl w:val="878C801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6" w15:restartNumberingAfterBreak="0">
    <w:nsid w:val="47152286"/>
    <w:multiLevelType w:val="hybridMultilevel"/>
    <w:tmpl w:val="DD522628"/>
    <w:lvl w:ilvl="0" w:tplc="1DFA6B5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A07A60"/>
    <w:multiLevelType w:val="hybridMultilevel"/>
    <w:tmpl w:val="EE804BEE"/>
    <w:lvl w:ilvl="0" w:tplc="F81836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6D0241A"/>
    <w:multiLevelType w:val="multilevel"/>
    <w:tmpl w:val="5718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BB6BD4"/>
    <w:multiLevelType w:val="hybridMultilevel"/>
    <w:tmpl w:val="F0582AAC"/>
    <w:lvl w:ilvl="0" w:tplc="DDEAE642">
      <w:start w:val="1"/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10" w15:restartNumberingAfterBreak="0">
    <w:nsid w:val="7DFD37B4"/>
    <w:multiLevelType w:val="hybridMultilevel"/>
    <w:tmpl w:val="85EAC3A8"/>
    <w:lvl w:ilvl="0" w:tplc="5360DFC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94"/>
    <w:rsid w:val="00007D45"/>
    <w:rsid w:val="00030B90"/>
    <w:rsid w:val="00031D89"/>
    <w:rsid w:val="00033721"/>
    <w:rsid w:val="000414C1"/>
    <w:rsid w:val="00046592"/>
    <w:rsid w:val="000609D4"/>
    <w:rsid w:val="00073324"/>
    <w:rsid w:val="000D250D"/>
    <w:rsid w:val="00111260"/>
    <w:rsid w:val="0011377A"/>
    <w:rsid w:val="00114E3A"/>
    <w:rsid w:val="00123F74"/>
    <w:rsid w:val="001425A4"/>
    <w:rsid w:val="001474AC"/>
    <w:rsid w:val="0015339D"/>
    <w:rsid w:val="00172170"/>
    <w:rsid w:val="00172B31"/>
    <w:rsid w:val="00181A3D"/>
    <w:rsid w:val="001866EA"/>
    <w:rsid w:val="001A18C6"/>
    <w:rsid w:val="001A78C8"/>
    <w:rsid w:val="001C7075"/>
    <w:rsid w:val="001D529B"/>
    <w:rsid w:val="001D5D65"/>
    <w:rsid w:val="001E2FEB"/>
    <w:rsid w:val="001E6766"/>
    <w:rsid w:val="00204D8B"/>
    <w:rsid w:val="00214B36"/>
    <w:rsid w:val="00226D28"/>
    <w:rsid w:val="00274141"/>
    <w:rsid w:val="002753D9"/>
    <w:rsid w:val="002755C2"/>
    <w:rsid w:val="00287CFF"/>
    <w:rsid w:val="00295F78"/>
    <w:rsid w:val="00296A71"/>
    <w:rsid w:val="002B3BDA"/>
    <w:rsid w:val="002D3174"/>
    <w:rsid w:val="002F17BB"/>
    <w:rsid w:val="002F32E0"/>
    <w:rsid w:val="00307851"/>
    <w:rsid w:val="00321B07"/>
    <w:rsid w:val="003351D3"/>
    <w:rsid w:val="00341E99"/>
    <w:rsid w:val="00367D8C"/>
    <w:rsid w:val="00373729"/>
    <w:rsid w:val="00385FFB"/>
    <w:rsid w:val="00386997"/>
    <w:rsid w:val="00387A22"/>
    <w:rsid w:val="003A0BE4"/>
    <w:rsid w:val="003A5FB7"/>
    <w:rsid w:val="003B3C66"/>
    <w:rsid w:val="003F0618"/>
    <w:rsid w:val="003F0C1A"/>
    <w:rsid w:val="00405C2F"/>
    <w:rsid w:val="0041495B"/>
    <w:rsid w:val="004161EC"/>
    <w:rsid w:val="004200BF"/>
    <w:rsid w:val="004311E5"/>
    <w:rsid w:val="00435EBE"/>
    <w:rsid w:val="0043755F"/>
    <w:rsid w:val="00442AAF"/>
    <w:rsid w:val="0045434C"/>
    <w:rsid w:val="00460817"/>
    <w:rsid w:val="00463CD4"/>
    <w:rsid w:val="00481555"/>
    <w:rsid w:val="0049226D"/>
    <w:rsid w:val="00492D25"/>
    <w:rsid w:val="004A04AE"/>
    <w:rsid w:val="004A5A21"/>
    <w:rsid w:val="004C5887"/>
    <w:rsid w:val="004D24EC"/>
    <w:rsid w:val="004D5AE1"/>
    <w:rsid w:val="004E760D"/>
    <w:rsid w:val="00506537"/>
    <w:rsid w:val="00524727"/>
    <w:rsid w:val="005305AB"/>
    <w:rsid w:val="00532622"/>
    <w:rsid w:val="00534A65"/>
    <w:rsid w:val="00564134"/>
    <w:rsid w:val="00565F6B"/>
    <w:rsid w:val="0058476A"/>
    <w:rsid w:val="00584C45"/>
    <w:rsid w:val="005A0949"/>
    <w:rsid w:val="005A1A2A"/>
    <w:rsid w:val="005A6D15"/>
    <w:rsid w:val="005A780F"/>
    <w:rsid w:val="005B3E5F"/>
    <w:rsid w:val="005C2175"/>
    <w:rsid w:val="005C57FD"/>
    <w:rsid w:val="005C7A3B"/>
    <w:rsid w:val="005E2AD9"/>
    <w:rsid w:val="005E3BF9"/>
    <w:rsid w:val="006166CE"/>
    <w:rsid w:val="006300AE"/>
    <w:rsid w:val="00632806"/>
    <w:rsid w:val="00633729"/>
    <w:rsid w:val="00635653"/>
    <w:rsid w:val="00672485"/>
    <w:rsid w:val="00675CC5"/>
    <w:rsid w:val="006A4B37"/>
    <w:rsid w:val="006B17DD"/>
    <w:rsid w:val="006B31DE"/>
    <w:rsid w:val="006C5657"/>
    <w:rsid w:val="006D021C"/>
    <w:rsid w:val="006D4412"/>
    <w:rsid w:val="006E4448"/>
    <w:rsid w:val="006E6BE8"/>
    <w:rsid w:val="00701237"/>
    <w:rsid w:val="00712578"/>
    <w:rsid w:val="007130D6"/>
    <w:rsid w:val="00717571"/>
    <w:rsid w:val="007368A9"/>
    <w:rsid w:val="00740E43"/>
    <w:rsid w:val="007467F7"/>
    <w:rsid w:val="007772F4"/>
    <w:rsid w:val="00782DAB"/>
    <w:rsid w:val="007C706A"/>
    <w:rsid w:val="007D7303"/>
    <w:rsid w:val="007E493F"/>
    <w:rsid w:val="008255AB"/>
    <w:rsid w:val="00850C5E"/>
    <w:rsid w:val="00874D96"/>
    <w:rsid w:val="00874F91"/>
    <w:rsid w:val="00876D14"/>
    <w:rsid w:val="00883711"/>
    <w:rsid w:val="0089110E"/>
    <w:rsid w:val="0089629F"/>
    <w:rsid w:val="008A08B2"/>
    <w:rsid w:val="008C4B6B"/>
    <w:rsid w:val="008C740D"/>
    <w:rsid w:val="008D626A"/>
    <w:rsid w:val="008E74A9"/>
    <w:rsid w:val="008F012A"/>
    <w:rsid w:val="009000F3"/>
    <w:rsid w:val="0090523F"/>
    <w:rsid w:val="00905B57"/>
    <w:rsid w:val="00906128"/>
    <w:rsid w:val="00906D11"/>
    <w:rsid w:val="00943BD6"/>
    <w:rsid w:val="00973201"/>
    <w:rsid w:val="00973818"/>
    <w:rsid w:val="00973D77"/>
    <w:rsid w:val="009872A9"/>
    <w:rsid w:val="009A25FB"/>
    <w:rsid w:val="009A7DA8"/>
    <w:rsid w:val="009B2CCD"/>
    <w:rsid w:val="009C0C21"/>
    <w:rsid w:val="009C1AAD"/>
    <w:rsid w:val="009D3B9B"/>
    <w:rsid w:val="009D3BC1"/>
    <w:rsid w:val="009E1731"/>
    <w:rsid w:val="009E2889"/>
    <w:rsid w:val="009E39FE"/>
    <w:rsid w:val="009E3EE4"/>
    <w:rsid w:val="009F4DAE"/>
    <w:rsid w:val="00A01828"/>
    <w:rsid w:val="00A1065D"/>
    <w:rsid w:val="00A22C3C"/>
    <w:rsid w:val="00A40D9F"/>
    <w:rsid w:val="00A4501A"/>
    <w:rsid w:val="00A52E34"/>
    <w:rsid w:val="00A75A62"/>
    <w:rsid w:val="00A8368C"/>
    <w:rsid w:val="00A86816"/>
    <w:rsid w:val="00A95A81"/>
    <w:rsid w:val="00A96B82"/>
    <w:rsid w:val="00AA7746"/>
    <w:rsid w:val="00AC7600"/>
    <w:rsid w:val="00AD09F7"/>
    <w:rsid w:val="00AD1B36"/>
    <w:rsid w:val="00AF45B0"/>
    <w:rsid w:val="00B00C7A"/>
    <w:rsid w:val="00B072FC"/>
    <w:rsid w:val="00B10CE2"/>
    <w:rsid w:val="00B20FA2"/>
    <w:rsid w:val="00B24C63"/>
    <w:rsid w:val="00B4296A"/>
    <w:rsid w:val="00B50055"/>
    <w:rsid w:val="00B50C94"/>
    <w:rsid w:val="00B5151C"/>
    <w:rsid w:val="00B649D4"/>
    <w:rsid w:val="00B826F7"/>
    <w:rsid w:val="00B9163C"/>
    <w:rsid w:val="00B9614A"/>
    <w:rsid w:val="00BA34F2"/>
    <w:rsid w:val="00BA76C3"/>
    <w:rsid w:val="00BB1644"/>
    <w:rsid w:val="00BB2594"/>
    <w:rsid w:val="00BC297C"/>
    <w:rsid w:val="00BE49A8"/>
    <w:rsid w:val="00BF55F0"/>
    <w:rsid w:val="00BF60CA"/>
    <w:rsid w:val="00C03895"/>
    <w:rsid w:val="00C14482"/>
    <w:rsid w:val="00C323D1"/>
    <w:rsid w:val="00C60C9A"/>
    <w:rsid w:val="00C61DE4"/>
    <w:rsid w:val="00C627A5"/>
    <w:rsid w:val="00C63A70"/>
    <w:rsid w:val="00C90DFE"/>
    <w:rsid w:val="00D01CA4"/>
    <w:rsid w:val="00D241FF"/>
    <w:rsid w:val="00D321EC"/>
    <w:rsid w:val="00D35B51"/>
    <w:rsid w:val="00D44B82"/>
    <w:rsid w:val="00D473AB"/>
    <w:rsid w:val="00D80630"/>
    <w:rsid w:val="00D82E7B"/>
    <w:rsid w:val="00D97FA7"/>
    <w:rsid w:val="00DA6943"/>
    <w:rsid w:val="00DB22CE"/>
    <w:rsid w:val="00DC289D"/>
    <w:rsid w:val="00DC338A"/>
    <w:rsid w:val="00DE3D06"/>
    <w:rsid w:val="00DE4B42"/>
    <w:rsid w:val="00E060E0"/>
    <w:rsid w:val="00E30351"/>
    <w:rsid w:val="00E62A57"/>
    <w:rsid w:val="00E650F7"/>
    <w:rsid w:val="00E839EB"/>
    <w:rsid w:val="00EA793A"/>
    <w:rsid w:val="00EC7CE8"/>
    <w:rsid w:val="00ED5110"/>
    <w:rsid w:val="00EE3AB6"/>
    <w:rsid w:val="00EE6293"/>
    <w:rsid w:val="00F03166"/>
    <w:rsid w:val="00F103CC"/>
    <w:rsid w:val="00F13BC8"/>
    <w:rsid w:val="00F3388C"/>
    <w:rsid w:val="00F40632"/>
    <w:rsid w:val="00F436AB"/>
    <w:rsid w:val="00F43830"/>
    <w:rsid w:val="00F43E89"/>
    <w:rsid w:val="00F703C7"/>
    <w:rsid w:val="00F708BD"/>
    <w:rsid w:val="00F7578D"/>
    <w:rsid w:val="00F84FAF"/>
    <w:rsid w:val="00F90A45"/>
    <w:rsid w:val="00F90C22"/>
    <w:rsid w:val="00FA3B6D"/>
    <w:rsid w:val="00FB2A54"/>
    <w:rsid w:val="00FB7A30"/>
    <w:rsid w:val="00FC2D75"/>
    <w:rsid w:val="00FE1368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D88794"/>
  <w15:docId w15:val="{A2C9B29F-3F69-4F97-9C05-F2DD3724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4B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4B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B3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4B37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B50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0C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0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0C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1">
    <w:name w:val="Body Text Indent 2"/>
    <w:basedOn w:val="a"/>
    <w:link w:val="22"/>
    <w:rsid w:val="006A4B37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A4B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6A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B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3BF9"/>
    <w:pPr>
      <w:ind w:left="720"/>
      <w:contextualSpacing/>
    </w:pPr>
  </w:style>
  <w:style w:type="paragraph" w:styleId="a6">
    <w:name w:val="header"/>
    <w:basedOn w:val="a"/>
    <w:link w:val="a7"/>
    <w:unhideWhenUsed/>
    <w:rsid w:val="001E2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2FEB"/>
  </w:style>
  <w:style w:type="paragraph" w:styleId="a8">
    <w:name w:val="footer"/>
    <w:basedOn w:val="a"/>
    <w:link w:val="a9"/>
    <w:unhideWhenUsed/>
    <w:rsid w:val="001E2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2FEB"/>
  </w:style>
  <w:style w:type="character" w:styleId="aa">
    <w:name w:val="Hyperlink"/>
    <w:rsid w:val="00460817"/>
    <w:rPr>
      <w:color w:val="0563C1"/>
      <w:u w:val="single"/>
    </w:rPr>
  </w:style>
  <w:style w:type="paragraph" w:customStyle="1" w:styleId="ab">
    <w:name w:val="Знак Знак"/>
    <w:basedOn w:val="a"/>
    <w:rsid w:val="002D317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c">
    <w:name w:val="page number"/>
    <w:basedOn w:val="a0"/>
    <w:rsid w:val="004A04AE"/>
  </w:style>
  <w:style w:type="paragraph" w:customStyle="1" w:styleId="ad">
    <w:name w:val="Знак Знак Знак Знак Знак Знак Знак Знак Знак Знак"/>
    <w:basedOn w:val="a"/>
    <w:rsid w:val="004A04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4A04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 Знак Знак Знак Знак Знак Знак"/>
    <w:basedOn w:val="a"/>
    <w:rsid w:val="004A04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ndard">
    <w:name w:val="Standard"/>
    <w:rsid w:val="00850C5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0"/>
      <w:szCs w:val="24"/>
      <w:lang w:eastAsia="ru-RU"/>
    </w:rPr>
  </w:style>
  <w:style w:type="paragraph" w:customStyle="1" w:styleId="a00">
    <w:name w:val="a0"/>
    <w:basedOn w:val="a"/>
    <w:rsid w:val="003B3C6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34A65"/>
    <w:pPr>
      <w:suppressAutoHyphens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34A65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534A65"/>
    <w:rPr>
      <w:rFonts w:ascii="Calibri" w:eastAsia="Times New Roman" w:hAnsi="Calibri" w:cs="Calibri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9E173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E1731"/>
  </w:style>
  <w:style w:type="character" w:styleId="af0">
    <w:name w:val="Strong"/>
    <w:basedOn w:val="a0"/>
    <w:uiPriority w:val="22"/>
    <w:qFormat/>
    <w:rsid w:val="00BB1644"/>
    <w:rPr>
      <w:b/>
      <w:bCs/>
    </w:rPr>
  </w:style>
  <w:style w:type="paragraph" w:styleId="af1">
    <w:name w:val="Normal (Web)"/>
    <w:basedOn w:val="a"/>
    <w:uiPriority w:val="99"/>
    <w:semiHidden/>
    <w:unhideWhenUsed/>
    <w:rsid w:val="00BB1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BB1644"/>
  </w:style>
  <w:style w:type="character" w:styleId="af2">
    <w:name w:val="Emphasis"/>
    <w:rsid w:val="008F01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cha.nobl.ru/activity/4009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1FC8B-E342-4B9C-88F3-4FFF6264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8</Pages>
  <Words>5786</Words>
  <Characters>32983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Трошенкова Анна Вячеславовна</dc:creator>
  <cp:keywords/>
  <dc:description/>
  <cp:lastModifiedBy>Райнич Андрей Александрович</cp:lastModifiedBy>
  <cp:revision>208</cp:revision>
  <cp:lastPrinted>2026-02-20T07:05:00Z</cp:lastPrinted>
  <dcterms:created xsi:type="dcterms:W3CDTF">2022-12-01T13:45:00Z</dcterms:created>
  <dcterms:modified xsi:type="dcterms:W3CDTF">2026-04-16T10:15:00Z</dcterms:modified>
</cp:coreProperties>
</file>