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A4" w:rsidRDefault="003913B4">
      <w:pPr>
        <w:pStyle w:val="40"/>
        <w:shd w:val="clear" w:color="auto" w:fill="auto"/>
        <w:spacing w:before="0" w:line="274" w:lineRule="exact"/>
        <w:jc w:val="center"/>
      </w:pPr>
      <w:r>
        <w:t xml:space="preserve">Информация </w:t>
      </w:r>
      <w:r w:rsidR="005F345C">
        <w:t xml:space="preserve">о </w:t>
      </w:r>
      <w:r>
        <w:t>деятельности</w:t>
      </w:r>
      <w:bookmarkStart w:id="0" w:name="_GoBack"/>
      <w:bookmarkEnd w:id="0"/>
    </w:p>
    <w:p w:rsidR="003E4CA4" w:rsidRDefault="005F345C">
      <w:pPr>
        <w:pStyle w:val="40"/>
        <w:shd w:val="clear" w:color="auto" w:fill="auto"/>
        <w:spacing w:before="0" w:line="274" w:lineRule="exact"/>
        <w:jc w:val="right"/>
      </w:pPr>
      <w:r>
        <w:t>контрольно-счетной палаты Вачского муниципальн</w:t>
      </w:r>
      <w:r>
        <w:t>ого округа Нижегородской области за</w:t>
      </w:r>
    </w:p>
    <w:p w:rsidR="003E4CA4" w:rsidRDefault="005F345C">
      <w:pPr>
        <w:pStyle w:val="40"/>
        <w:shd w:val="clear" w:color="auto" w:fill="auto"/>
        <w:spacing w:before="0" w:after="286" w:line="274" w:lineRule="exact"/>
        <w:jc w:val="center"/>
      </w:pPr>
      <w:r>
        <w:t>2025 год</w:t>
      </w:r>
    </w:p>
    <w:p w:rsidR="003E4CA4" w:rsidRDefault="005F345C">
      <w:pPr>
        <w:pStyle w:val="23"/>
        <w:shd w:val="clear" w:color="auto" w:fill="auto"/>
        <w:spacing w:before="0" w:after="274" w:line="266" w:lineRule="exact"/>
        <w:ind w:firstLine="0"/>
        <w:jc w:val="center"/>
      </w:pPr>
      <w:r>
        <w:t>Общие сведения о деятельности контрольно-счетной палаты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 xml:space="preserve">Деятельность контрольно-счетной палаты Вачского муниципального округа в отчетном периоде осуществлялась в соответствии с требованиями Бюджетного кодекса </w:t>
      </w:r>
      <w:r>
        <w:t>Российской Федерации, Федерального закона № 6-ФЗ от 07.02.2011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Положения о контрольно-счетной пал</w:t>
      </w:r>
      <w:r>
        <w:t>ате Вачского муниципального округа от 30.05.2024 № 52, Положения о бюджетном процессе в Вачском муниципальном округе.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Контрольно-счетная палата является постоянно действующим органом внешнего муниципального финансового контроля, подотчётным Совету депутато</w:t>
      </w:r>
      <w:r>
        <w:t>в Вачского муниципального округа. В рамках осуществления своих полномочий КСП обладает организационной и функциональной независимостью. Обладает правами юридического лица.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Штатная численность контрольно-счетной палаты 2 единицы, фактическая численность 1 ч</w:t>
      </w:r>
      <w:r>
        <w:t>еловек.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рамках осуществления внешнего муниципального финансового контроля проводились контрольные и экспертно-аналитические мероприятия.</w:t>
      </w:r>
    </w:p>
    <w:p w:rsidR="003E4CA4" w:rsidRDefault="005F345C">
      <w:pPr>
        <w:pStyle w:val="23"/>
        <w:shd w:val="clear" w:color="auto" w:fill="auto"/>
        <w:spacing w:before="0" w:after="280" w:line="274" w:lineRule="exact"/>
        <w:ind w:firstLine="600"/>
      </w:pPr>
      <w:r>
        <w:t xml:space="preserve">Приоритетными задачами в работе КСП являлись обеспечение прозрачности бюджетного процесса и контроль за целевым и </w:t>
      </w:r>
      <w:r>
        <w:t>эффективным использованием бюджетных средств. Всего в 2025 году проведено 21 экспертно-аналитических и контрольных мероприятия, все мероприятия проведены в соответствии с утвержденным планом работы КСП на год.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left="3320" w:firstLine="0"/>
        <w:jc w:val="left"/>
      </w:pPr>
      <w:r>
        <w:t>Экспертно-аналитические мероприятия</w:t>
      </w:r>
    </w:p>
    <w:p w:rsidR="003E4CA4" w:rsidRDefault="005F345C">
      <w:pPr>
        <w:pStyle w:val="23"/>
        <w:numPr>
          <w:ilvl w:val="0"/>
          <w:numId w:val="2"/>
        </w:numPr>
        <w:shd w:val="clear" w:color="auto" w:fill="auto"/>
        <w:tabs>
          <w:tab w:val="left" w:pos="917"/>
        </w:tabs>
        <w:spacing w:before="0" w:after="0" w:line="274" w:lineRule="exact"/>
        <w:ind w:firstLine="600"/>
      </w:pPr>
      <w:r>
        <w:t xml:space="preserve">Бюджетным </w:t>
      </w:r>
      <w:r>
        <w:t>кодексом Российской Федерации органы внешнего муниципального финансового контроля наделены полномочиями на проведение внешней проверки отчета об исполнении бюджета. Данное мероприятие включает в себя осуществление как контрольных, так и экспертно-аналитиче</w:t>
      </w:r>
      <w:r>
        <w:t>ских мероприятий.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соответствии со ст. 264.4 Бюджетного кодекса РФ, ст. 28 Положения о бюджетном процессе в Вачском муниципальном округе проведена внешняя проверка отчета об исполнении бюджета Вачского муниципального округа за 2024 год, проверено исполнен</w:t>
      </w:r>
      <w:r>
        <w:t>ие бюджетных средств в объеме: по доходам 1098,8 млн. рублей, по расходам 1085,7 млн. рублей, профицит бюджета составил 13,1 млн. рублей.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структуре доходной части бюджета основную долю составили безвозмездные поступления - 69,8%, налоговые доходы - 28,4%</w:t>
      </w:r>
      <w:r>
        <w:t xml:space="preserve"> и неналоговые доходы - 1,8%.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2024 году на реализацию муниципальных программ направлено 1060,0 млн. рублей или 97,6% общего объема расходов бюджета. Расходы муниципального дорожного фонда составили 41,8 млн. рублей, по резервному фонду произведено расход</w:t>
      </w:r>
      <w:r>
        <w:t>ов в сумме 0,9 млн. рублей.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По итогам проверки составлено заключение о соответствии отчета об исполнении бюджета за 2024 год признании отчета достоверным и соответствующим действующему законодательству.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соответствии с требованиями ст. 264.4 Бюджетного ко</w:t>
      </w:r>
      <w:r>
        <w:t>декса РФ предварительно проведены проверки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Вачского муниципального округа: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- внешняя проверка бюджетной</w:t>
      </w:r>
      <w:r>
        <w:t xml:space="preserve"> отчетности главного администратора бюджетных средств Администрации Вачского муниципального округа Нижегородской области;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74" w:lineRule="exact"/>
        <w:ind w:firstLine="600"/>
      </w:pPr>
      <w:r>
        <w:t xml:space="preserve">внешняя проверка бюджетной отчетности главного администратора бюджетных средств Совета депутатов Вачского муниципального округа </w:t>
      </w:r>
      <w:r>
        <w:t>Нижегородской области;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274" w:lineRule="exact"/>
        <w:ind w:firstLine="600"/>
      </w:pPr>
      <w:r>
        <w:t>внешняя проверка бюджетной отчетности главного администратора бюджетных средств Управления финансов администрации Вачского муниципального округа Нижегородской области;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274" w:lineRule="exact"/>
        <w:ind w:firstLine="600"/>
      </w:pPr>
      <w:r>
        <w:t>внешняя проверка бюджетной отчетности главного администратора бюд</w:t>
      </w:r>
      <w:r>
        <w:t xml:space="preserve">жетных средств </w:t>
      </w:r>
      <w:r>
        <w:lastRenderedPageBreak/>
        <w:t>Управления образования администрации Вачского муниципального округа Нижегородской области;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274" w:lineRule="exact"/>
        <w:ind w:firstLine="600"/>
      </w:pPr>
      <w:r>
        <w:t>внешняя проверка бюджетной отчетности главного администратора бюджетных средств Комитета по управлению муниципальным имуществом администрации Вачского</w:t>
      </w:r>
      <w:r>
        <w:t xml:space="preserve"> муниципального округа Нижегородской области;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74" w:lineRule="exact"/>
        <w:ind w:firstLine="600"/>
      </w:pPr>
      <w:r>
        <w:t>внешняя проверка бюджетной отчетности главного администратора бюджетных средств Отдела культуры администрации Вачского муниципального округа Нижегородской области;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274" w:lineRule="exact"/>
        <w:ind w:firstLine="600"/>
      </w:pPr>
      <w:r>
        <w:t>внешняя проверка бюджетной отчетности главного</w:t>
      </w:r>
      <w:r>
        <w:t xml:space="preserve"> администратора бюджетных средств Управления образования администрации Вачского муниципального округа Нижегородской области;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274" w:lineRule="exact"/>
        <w:ind w:firstLine="600"/>
      </w:pPr>
      <w:r>
        <w:t>внешняя проверка бюджетной отчетности главного администратора бюджетных средств Управления сельского хозяйства и продовольствия адм</w:t>
      </w:r>
      <w:r>
        <w:t>инистрации Вачского муниципального округа Нижегородской области.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По итогам проведённых проверок было составлено 7 заключений. Нарушений, повлиявших на достоверность бюджетной отчетности главных администраторов средств бюджета, не установлено. Отдельные зам</w:t>
      </w:r>
      <w:r>
        <w:t>ечания, указанные в заключениях, частично исправлены в ходе поверки либо приняты к сведению с целью недопущения в дальнейшем.</w:t>
      </w:r>
    </w:p>
    <w:p w:rsidR="003E4CA4" w:rsidRDefault="005F345C">
      <w:pPr>
        <w:pStyle w:val="23"/>
        <w:numPr>
          <w:ilvl w:val="0"/>
          <w:numId w:val="2"/>
        </w:numPr>
        <w:shd w:val="clear" w:color="auto" w:fill="auto"/>
        <w:tabs>
          <w:tab w:val="left" w:pos="984"/>
        </w:tabs>
        <w:spacing w:before="0" w:after="0" w:line="274" w:lineRule="exact"/>
        <w:ind w:firstLine="600"/>
      </w:pPr>
      <w:r>
        <w:t xml:space="preserve">Ежеквартально проводился оперативный анализ исполнения и контроля за организацией исполнения бюджета округа в соответствии со ст. </w:t>
      </w:r>
      <w:r>
        <w:t>264.2 Бюджетного кодекса РФ. При этом проводилась оценка основных параметров бюджета муниципального округа, анализировались: исполнение доходных статей бюджета и динамика исполнения расходов по разделам функциональной, ведомственной классификации, исполнен</w:t>
      </w:r>
      <w:r>
        <w:t>ие муниципальных программ. Было подготовлено 3 заключения о ходе исполнения бюджета Вачского муниципального округа: за 1-й квартал, 1-е полугодие и за 9 месяцев 2025 года.</w:t>
      </w:r>
    </w:p>
    <w:p w:rsidR="003E4CA4" w:rsidRDefault="005F345C">
      <w:pPr>
        <w:pStyle w:val="23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74" w:lineRule="exact"/>
        <w:ind w:firstLine="600"/>
      </w:pPr>
      <w:r>
        <w:t>В соответствии с ч.2 ст.9 Федерального закона 6-ФЗ, ст. 23 Положения о бюджетном про</w:t>
      </w:r>
      <w:r>
        <w:t>цессе в Вачском муниципальном округе проводилась экспертиза проекта решения о бюджете Вачского муниципального округа на 2026 год и плановый период 2027 и 2028 годов с целью проверки и установления достоверности и обоснованности его показателей. По результа</w:t>
      </w:r>
      <w:r>
        <w:t>там экспертизы подготовлено положительное заключение на проект решения. В ходе экспертизы установлено, что предложенный проект бюджета экономически обоснован, соответствует основным направлениям бюджетной и налоговой политики муниципального округа и основн</w:t>
      </w:r>
      <w:r>
        <w:t>ым показателям прогноза социально-экономического развития на 2026-2028 годы; соблюдены требования и ограничения по размеру дефицита бюджета, объемам резервного фонда, муниципального долга, установленные бюджетным законодательством. Объем охваченных проверк</w:t>
      </w:r>
      <w:r>
        <w:t>ой бюджетных средств, прогнозируемых на 2026 год, составил: по доходам - 1050,9 млн. рублей, по расходам - 1050,9 млн. рублей.</w:t>
      </w:r>
    </w:p>
    <w:p w:rsidR="003E4CA4" w:rsidRDefault="005F345C">
      <w:pPr>
        <w:pStyle w:val="2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0" w:line="274" w:lineRule="exact"/>
        <w:ind w:firstLine="600"/>
      </w:pPr>
      <w:r>
        <w:t xml:space="preserve">В соответствии ч.2 ст. 9 Закона 6-ФЗ в течение отчетного года проводилась экспертиза и подготовка информации на проекты решений </w:t>
      </w:r>
      <w:r>
        <w:t>Совета депутатов «О внесении изменений в решение Совета депутатов Вачского муниципального округа Нижегородской области от</w:t>
      </w:r>
    </w:p>
    <w:p w:rsidR="003E4CA4" w:rsidRDefault="005F345C">
      <w:pPr>
        <w:pStyle w:val="23"/>
        <w:numPr>
          <w:ilvl w:val="0"/>
          <w:numId w:val="4"/>
        </w:numPr>
        <w:shd w:val="clear" w:color="auto" w:fill="auto"/>
        <w:tabs>
          <w:tab w:val="left" w:pos="816"/>
          <w:tab w:val="left" w:pos="1206"/>
        </w:tabs>
        <w:spacing w:before="0" w:after="286" w:line="274" w:lineRule="exact"/>
        <w:ind w:firstLine="0"/>
      </w:pPr>
      <w:r>
        <w:t>года № 99 «О бюджете Вачского муниципального округа Нижегородской области на 2025 год и на плановый период 2026 и 2027 годов» подготов</w:t>
      </w:r>
      <w:r>
        <w:t>лено 7 заключений.</w:t>
      </w:r>
    </w:p>
    <w:p w:rsidR="003E4CA4" w:rsidRDefault="005F345C">
      <w:pPr>
        <w:pStyle w:val="23"/>
        <w:shd w:val="clear" w:color="auto" w:fill="auto"/>
        <w:spacing w:before="0" w:after="274" w:line="266" w:lineRule="exact"/>
        <w:ind w:firstLine="0"/>
        <w:jc w:val="center"/>
      </w:pPr>
      <w:r>
        <w:t>Основные результаты контрольных мероприятий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Основными направлениями контрольных мероприятий в 2025 году являлись: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17"/>
        </w:tabs>
        <w:spacing w:before="0" w:after="0" w:line="274" w:lineRule="exact"/>
        <w:ind w:firstLine="600"/>
      </w:pPr>
      <w:r>
        <w:t>контроль законности и эффективности использования средств бюджета, выделенных на выполнение муниципального задания,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17"/>
        </w:tabs>
        <w:spacing w:before="0" w:after="0" w:line="274" w:lineRule="exact"/>
        <w:ind w:firstLine="600"/>
      </w:pPr>
      <w:r>
        <w:t>контрол</w:t>
      </w:r>
      <w:r>
        <w:t>ь законности и эффективности использования средств бюджетов всех уровней бюджетной системы Российской Федерации, направленных на реализацию проекта инициативного бюджетирования «Вам решать!»,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17"/>
        </w:tabs>
        <w:spacing w:before="0" w:after="0" w:line="274" w:lineRule="exact"/>
        <w:ind w:firstLine="600"/>
      </w:pPr>
      <w:r>
        <w:t>соблюдение финансовой дисциплины и правильности ведения бухгалте</w:t>
      </w:r>
      <w:r>
        <w:t>рского учета и отчетности.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Общий объем проверенных средств составил 36432,2 тыс. рублей.</w:t>
      </w:r>
    </w:p>
    <w:p w:rsidR="003E4CA4" w:rsidRDefault="005F345C">
      <w:pPr>
        <w:pStyle w:val="23"/>
        <w:numPr>
          <w:ilvl w:val="0"/>
          <w:numId w:val="5"/>
        </w:numPr>
        <w:shd w:val="clear" w:color="auto" w:fill="auto"/>
        <w:tabs>
          <w:tab w:val="left" w:pos="898"/>
        </w:tabs>
        <w:spacing w:before="0" w:after="0" w:line="274" w:lineRule="exact"/>
        <w:ind w:firstLine="600"/>
      </w:pPr>
      <w:r>
        <w:t>С целью осуществления контроля законности и эффективности использования средств бюджетов всех уровней бюджетной системы Российской Федерации, направленных на реализаци</w:t>
      </w:r>
      <w:r>
        <w:t xml:space="preserve">ю проекта инициативного бюджетирования «Вам решать!», проведено параллельное с </w:t>
      </w:r>
      <w:r>
        <w:lastRenderedPageBreak/>
        <w:t>контрольно-счетной палатой Нижегородской области контрольное мероприятие «Проверка законности и эффективности использования предоставленной из областного бюджета в 2024 году и и</w:t>
      </w:r>
      <w:r>
        <w:t>стекшем периоде 2025 года межбюджетной субсидии на реализацию проекта инициативного бюджетирования «Вам решать!».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Объекты проверки: Администрация Вачского муниципального округа Нижегородской области; Новосельский административно- территориальный отдел Вачс</w:t>
      </w:r>
      <w:r>
        <w:t>кого муниципального округа Нижегородской области.</w:t>
      </w:r>
    </w:p>
    <w:p w:rsidR="003E4CA4" w:rsidRDefault="005F345C">
      <w:pPr>
        <w:pStyle w:val="23"/>
        <w:shd w:val="clear" w:color="auto" w:fill="auto"/>
        <w:tabs>
          <w:tab w:val="left" w:pos="4224"/>
          <w:tab w:val="left" w:pos="5947"/>
        </w:tabs>
        <w:spacing w:before="0" w:after="0" w:line="274" w:lineRule="exact"/>
        <w:ind w:firstLine="600"/>
      </w:pPr>
      <w:r>
        <w:t xml:space="preserve">Объем проверенных </w:t>
      </w:r>
      <w:r>
        <w:t>средств:</w:t>
      </w:r>
      <w:r>
        <w:tab/>
      </w:r>
      <w:r>
        <w:t>2024 год -</w:t>
      </w:r>
      <w:r>
        <w:tab/>
        <w:t>17 653,7 тыс. рублей (фактически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0"/>
      </w:pPr>
      <w:r>
        <w:t>израсходованных), из них: средства областного бюджета - 14 122,1 тыс. рублей, средства местного бюджета - 3 531,6 тыс. рублей. Истекший</w:t>
      </w:r>
      <w:r>
        <w:t xml:space="preserve"> период 2025 года - 9 586,4 тыс. рублей (фактически израсходованных), из них: средства областного бюджета - 7 667,8 тыс. рублей, средства местного бюджета - 1 918,6 тыс. рублей.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соответствии и.4.3.5. Соглашения от 26.01.2024 №320-23/21 Администрация обяз</w:t>
      </w:r>
      <w:r>
        <w:t>уется направлять в министерство внутренней региональной и муниципальной политики Нижегородской области (далее - Министерство) не позднее 15 января 2025 года Отчеты за 2024 год: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274" w:lineRule="exact"/>
        <w:ind w:firstLine="600"/>
      </w:pPr>
      <w:r>
        <w:t>о расходах бюджета муниципального образования, в целях софинансирования которых</w:t>
      </w:r>
      <w:r>
        <w:t xml:space="preserve"> предоставляется Субсидия;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31"/>
        </w:tabs>
        <w:spacing w:before="0" w:after="0" w:line="274" w:lineRule="exact"/>
        <w:ind w:firstLine="600"/>
      </w:pPr>
      <w:r>
        <w:t>об использовании субсидии на реализацию проекта инициативного бюджетирования «Вам решать!»;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274" w:lineRule="exact"/>
        <w:ind w:firstLine="600"/>
      </w:pPr>
      <w:r>
        <w:t>о реализации имущественного и (или) трудового участия заинтересованных лиц, предусмотренного инициативным проектом (при наличии);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02"/>
        </w:tabs>
        <w:spacing w:before="0" w:after="0" w:line="274" w:lineRule="exact"/>
        <w:ind w:firstLine="600"/>
      </w:pPr>
      <w:r>
        <w:t>о дости</w:t>
      </w:r>
      <w:r>
        <w:t>жении значений показателей результативности использования Субсидии.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Проверкой установлено, что Отчеты за 2024 год отправлены в Министерство 12.12.2024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0"/>
      </w:pPr>
      <w:r>
        <w:t>(сопроводительное письмо № СЛ-111-1101677/24 от 12.12.2024). Нарушения сроков предоставления Отчетов за 2</w:t>
      </w:r>
      <w:r>
        <w:t>024 год по Соглашению не установлено.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Вместе с тем, обнаружены следующие нарушения и замечания при формировании отчетов за 2024 год: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02"/>
        </w:tabs>
        <w:spacing w:before="0" w:after="0" w:line="274" w:lineRule="exact"/>
        <w:ind w:firstLine="600"/>
      </w:pPr>
      <w:r>
        <w:t>во всех вышеназванных отчетах не заполнен реквизит - дата подписания отчета;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74" w:lineRule="exact"/>
        <w:ind w:firstLine="600"/>
      </w:pPr>
      <w:r>
        <w:t xml:space="preserve">в отчете о расходах бюджета муниципального </w:t>
      </w:r>
      <w:r>
        <w:t>образования, в целях софинансирования которых предоставляется Субсидия (Приложение №4 к Соглашению) не заполнены итоговые суммы расходов по столбцам 4,5,6,7,8,9,10,11,12,13 и 14.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 xml:space="preserve">В рамках контрольного мероприятия проведена выборочная проверка инициативных </w:t>
      </w:r>
      <w:r>
        <w:t>проектов, реализованных на территории Новосельского АТО администрации Вачского МО в 2024 году и истекшем периоде 2025 года: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74" w:lineRule="exact"/>
        <w:ind w:firstLine="600"/>
      </w:pPr>
      <w:r>
        <w:t xml:space="preserve">Ремонт участка дороги местного значения общего пользования от сквера от им. Земляков и Героев ул. Школьная до многоквартирного дома </w:t>
      </w:r>
      <w:r>
        <w:t>№12 на ул. Гагарина, протяженностью 200 м. (покрытие асфальт) с. Новоселки Вачского муниципального округа Нижегородской области (контракт от 25.03.2024 №2);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83"/>
        </w:tabs>
        <w:spacing w:before="0" w:after="0" w:line="274" w:lineRule="exact"/>
        <w:ind w:firstLine="600"/>
      </w:pPr>
      <w:r>
        <w:t>Ремонт участка автомобильной дороги местного значения общего пользования от с. Яковцево до насыпи н</w:t>
      </w:r>
      <w:r>
        <w:t>а д. Сапун, протяженностью 1700 м (покрытие гранулят) Вачского муниципального округа Нижегородской области (контракт от 29.03.2024 №3);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74" w:lineRule="exact"/>
        <w:ind w:firstLine="600"/>
      </w:pPr>
      <w:r>
        <w:t>Ремонт участка автомобильной дороги к д. Шарапово, протяженностью 1600 м (щебень+гранулят) (контракт от 31.03.2025 №1).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Расходы, связанные с выполнением работ по реализации данных проектов, осуществлялись путем закупки товаров, работ, услуг для обеспечения муниципальных нужд (КВР 200).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Проверкой установлено, что начальные максимальные цены контрактов (НМ</w:t>
      </w:r>
      <w:r>
        <w:rPr>
          <w:rStyle w:val="24"/>
        </w:rPr>
        <w:t>ПК</w:t>
      </w:r>
      <w:r>
        <w:t>) от</w:t>
      </w:r>
    </w:p>
    <w:p w:rsidR="003E4CA4" w:rsidRDefault="005F345C">
      <w:pPr>
        <w:pStyle w:val="23"/>
        <w:numPr>
          <w:ilvl w:val="0"/>
          <w:numId w:val="6"/>
        </w:numPr>
        <w:shd w:val="clear" w:color="auto" w:fill="auto"/>
        <w:tabs>
          <w:tab w:val="left" w:pos="1206"/>
        </w:tabs>
        <w:spacing w:before="0" w:after="0" w:line="274" w:lineRule="exact"/>
        <w:ind w:firstLine="0"/>
      </w:pPr>
      <w:r>
        <w:t xml:space="preserve">№3, от </w:t>
      </w:r>
      <w:r>
        <w:t>25.03.2024 №2, от 31.03.2025 №1 определены иным (сметным) методом, без соблюдения рекомендаций Постановления правительства Нижегородской области от 30.01.2008 № 22 и Постановления от 30.06.2014 № 434: экспертиза сметной документации по проверяемым контракт</w:t>
      </w:r>
      <w:r>
        <w:t>ам не пройдена, согласование уполномоченного органа ГБУ НО «Нижегородсмета» не получено.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нарушение постановления Госкомстата РФ от 11.11.1999 №100 «Об утверждении унифицированных форм первичной учетной документации по учету работ в капитальном строительс</w:t>
      </w:r>
      <w:r>
        <w:t xml:space="preserve">тве и ремонтно-строительных работ» не указано наименование видов выполненных </w:t>
      </w:r>
      <w:r>
        <w:lastRenderedPageBreak/>
        <w:t>работ и затрат во 2 столбце в формах КС-3 «Справка о стоимости выполненных работ и затрат»: от 15.08.2024 №1 (к контракту от 29.03.2024 №3), от 03.06.2024 №1 (к контракту от 25.03</w:t>
      </w:r>
      <w:r>
        <w:t>.2024 №2) и от 18.07.2025№1 (к контракту от 31.03.2025 №1).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Выборочной проверкой исполнительной документации по Контракту №3 от 29.03.2024 установлены следующие несоответствия: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74" w:lineRule="exact"/>
        <w:ind w:firstLine="600"/>
      </w:pPr>
      <w:r>
        <w:t>в акте освидетельствования скрытых работ (далее - АОСР) №2 от 10.08.2024 к осви</w:t>
      </w:r>
      <w:r>
        <w:t>детельствованию предъявлены работы по устройству подстилающих и выравнивающих слоев оснований из щебня М400 фр. от 20-40 мм - 595 м. куб., тогда как в КС-2 №1 от</w:t>
      </w:r>
    </w:p>
    <w:p w:rsidR="003E4CA4" w:rsidRDefault="005F345C">
      <w:pPr>
        <w:pStyle w:val="23"/>
        <w:numPr>
          <w:ilvl w:val="0"/>
          <w:numId w:val="7"/>
        </w:numPr>
        <w:shd w:val="clear" w:color="auto" w:fill="auto"/>
        <w:tabs>
          <w:tab w:val="left" w:pos="1201"/>
        </w:tabs>
        <w:spacing w:before="0" w:after="0" w:line="274" w:lineRule="exact"/>
        <w:ind w:firstLine="0"/>
      </w:pPr>
      <w:r>
        <w:t>и ЛСР №12 указаны работы по устройству подстилающих и выравнивающих слоев оснований из щебня М</w:t>
      </w:r>
      <w:r>
        <w:t>600 фр. от 16 до 31,5 мм - 595 м. куб;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274" w:lineRule="exact"/>
        <w:ind w:firstLine="600"/>
      </w:pPr>
      <w:r>
        <w:t>в акте освидетельствования скрытых работ (далее - АОСР) №3 от 13.08.2024 к освидетельствованию предъявлены работы по устройству подстилающих и выравнивающих слоев оснований из гранулята 297,5 м. куб., тогда как в КС-2</w:t>
      </w:r>
      <w:r>
        <w:t xml:space="preserve"> №1 от 15.08.2024 и ЛСР №12 указаны работы по устройству подстилающих и выравнивающих слоев оснований из щебня М600 фр. от 16 до 31,5 мм 297,5 м. куб.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нарушение п.11 ч.1 ст.13 Федерального закона от 08.11.2007 № 257-ФЗ «Об автомобильных дорогах и о дорож</w:t>
      </w:r>
      <w:r>
        <w:t>ной деятельности в Российской Федерации и о внесении изменений в отдельные законодательные акты Российской Федерации» (далее - Федеральный закон № 257-ФЗ) нормативы финансовых затрат на капитальный ремонт, ремонт, автомобильных дорог местного значения в Ва</w:t>
      </w:r>
      <w:r>
        <w:t>чском муниципальном округе не утверждены.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нарушение ч.2 ст.18 Федерального закона от 08.11.2007 № 257-ФЗ на территории Вачского муниципального округа не установлен порядок ремонта автомобильных дорог, соответствующие нормативные правовые акты не утвержде</w:t>
      </w:r>
      <w:r>
        <w:t>ны.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При анализе информации, представленной в указанном Перечне автомобильных дорог общего пользования местного значения, и сверке с информацией, содержащейся в проверенных выше контрактах и прилагаемых к ним документам, выявлены следующие несоответствия: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274" w:lineRule="exact"/>
        <w:ind w:firstLine="600"/>
      </w:pPr>
      <w:r>
        <w:t>а</w:t>
      </w:r>
      <w:r>
        <w:t>втомобильная дорога 222170ПМР 267 «Подъезд к Новосельскому с/к от д.12 ул. Гагарина» протяженностью 200 м по типу покрытия отнесена к щебененной (130м) и грунтовой (70м), данная информация является неактуальной, так как в соответствии с Контрактом от</w:t>
      </w:r>
    </w:p>
    <w:p w:rsidR="003E4CA4" w:rsidRDefault="005F345C">
      <w:pPr>
        <w:pStyle w:val="23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274" w:lineRule="exact"/>
        <w:ind w:firstLine="0"/>
      </w:pPr>
      <w:r>
        <w:t>№2 да</w:t>
      </w:r>
      <w:r>
        <w:t>нный участок дороги (200 м) покрыт асфальтом, соответствующий документ о приемке работ в ЕИС подписан Заказчиком 04.06.2024;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274" w:lineRule="exact"/>
        <w:ind w:firstLine="600"/>
      </w:pPr>
      <w:r>
        <w:t>автомобильная дорога 222170ПМР 320 «д. Сапун» протяженностью 1500м по типу покрытия отнесена к грунтовой (1500м), данная информация</w:t>
      </w:r>
      <w:r>
        <w:t xml:space="preserve"> является неактуальной, так как в соответствии с Контрактом от 29.03.2024 №3 данная дорога (участок автомобильной дороги местного значения общего пользования от с. Яковцево до насыпи на д. Сапун протяженностью 1700м) имеет покрытие гранулят, соответствующи</w:t>
      </w:r>
      <w:r>
        <w:t>й документ о приемке работ в ЕИС подписан Заказчиком 16.08.2024. В контрактной документации протяженность данной дороги больше на 200 м.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По результатам контрольного мероприятия объектам контроля направлено представление для рассмотрения и принятия мер по у</w:t>
      </w:r>
      <w:r>
        <w:t>странению выявленных нарушений и недостатков, а также мер по пресечению, устранению и предупреждению нарушений.</w:t>
      </w:r>
    </w:p>
    <w:p w:rsidR="003E4CA4" w:rsidRDefault="005F345C">
      <w:pPr>
        <w:pStyle w:val="23"/>
        <w:numPr>
          <w:ilvl w:val="0"/>
          <w:numId w:val="5"/>
        </w:numPr>
        <w:shd w:val="clear" w:color="auto" w:fill="auto"/>
        <w:tabs>
          <w:tab w:val="left" w:pos="931"/>
        </w:tabs>
        <w:spacing w:before="0" w:after="0" w:line="274" w:lineRule="exact"/>
        <w:ind w:firstLine="600"/>
      </w:pPr>
      <w:r>
        <w:t>С целью контроля соблюдения законодательства при использовании бюджетных средств проведена проверка отдельных вопросов финансово-хозяйственной д</w:t>
      </w:r>
      <w:r>
        <w:t>еятельности Муниципального бюджетного образовательного учреждения «Клинская начальная общеобразовательная школа - детский сад». Проверяемый период - 2024 год, 1 полугодие 2025 года.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соответствии с планом финансово-хозяйственной деятельности на 2024 год у</w:t>
      </w:r>
      <w:r>
        <w:t>тверждено плановых назначений по доходам всего в сумме 4715,3 тыс. рублей, по выплатам в сумме 5024,1 тыс. рублей. Исполнение плана по доходам составило 4653,5 тыс. рублей или 98,7%, по расходам 4730,6 тыс. рублей или 92,4%. Расходы распределились по следу</w:t>
      </w:r>
      <w:r>
        <w:t>ющим направлениям: фонд оплаты труда составил 2655,0 тыс. рублей; взносы по обязательному страхованию - 770,0 тыс. рублей; иные выплаты персоналу - 0,2 тыс. рублей; прочая закупка товаров, работ, услуг - 896,6 тыс. рублей; закупка энергетических ресурсов -</w:t>
      </w:r>
      <w:r>
        <w:t xml:space="preserve"> 402,1 тыс. рублей, уплата налогов и иных платежей - 6,7 тыс. рублей.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Проверка обнаружила следующие нарушения и замечания при формировании и утверждении планов ФХД: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74" w:lineRule="exact"/>
        <w:ind w:firstLine="600"/>
      </w:pPr>
      <w:r>
        <w:lastRenderedPageBreak/>
        <w:t xml:space="preserve">представленные расчеты (обоснования) к плану ФХД на 2024 год и к плану ФХД на 2025 год не </w:t>
      </w:r>
      <w:r>
        <w:t>соответствуют форме, утвержденной порядком № 573 (Приложение №3), в части: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-в наименовании документов отсутствует год и плановый период, на который рассчитаны показатели плана ФХД;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-отсутствуют реквизиты - «Вид документа (первичный, уточненный, номер уточн</w:t>
      </w:r>
      <w:r>
        <w:t>ения)» и «Единица измерения: руб.» на титульном листе.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При проверке обоснований (расчетов) выявлены следующие нарушения: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274" w:lineRule="exact"/>
        <w:ind w:firstLine="600"/>
      </w:pPr>
      <w:r>
        <w:t>к Плану ФХД на 2024 год и плановый период 2025-2026 гг. отсутствуют расчеты страховых взносов на обязательное страхование (213) по разд</w:t>
      </w:r>
      <w:r>
        <w:t>елу 1, источник финансирования - местный бюджет,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274" w:lineRule="exact"/>
        <w:ind w:firstLine="600"/>
      </w:pPr>
      <w:r>
        <w:t>к Плану ФХД на 2025 год и плановый период 2026-2027 гг. отсутствуют: расчеты (обоснования) расходов на оплату труда (211), расчеты (обоснования) страховых взносов на обязательное страхование (213). В разделе</w:t>
      </w:r>
      <w:r>
        <w:t xml:space="preserve"> 1 «Расчеты (обоснования) выплат персоналу вышеназванные таблицы не заполнены по обоим источникам финансирования - местному бюджету и областному бюджету.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нарушение Приказа управления образования администрации «Об утверждении Порядка составление и утвержд</w:t>
      </w:r>
      <w:r>
        <w:t>ения плана ФХД» от 26.12.2023 №573 форма Плана ФХД на 2024 год и форма Плана ФХД на 2025 год не соответствует форме, утвержденной в Приложении 1 к данному Порядку, в части отсутствия на титульном листе реквизита «Единица измерения: руб.».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Проверкой установ</w:t>
      </w:r>
      <w:r>
        <w:t>лено, что в нарушение ст. 123 Трудового кодекса Российской Федерации: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83"/>
        </w:tabs>
        <w:spacing w:before="0" w:after="0" w:line="274" w:lineRule="exact"/>
        <w:ind w:firstLine="600"/>
      </w:pPr>
      <w:r>
        <w:t>график отпусков на 2024 г. по МБОУ «Клинская начальная общеобразовательная школа- детский сад» утвержден позднее, чем за две недели до наступления календарного года приказом «Об утвержде</w:t>
      </w:r>
      <w:r>
        <w:t>нии графика очередных отпусков» от 29.12.2023 №76, нарушение срока на 12 дней;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36"/>
        </w:tabs>
        <w:spacing w:before="0" w:after="0" w:line="274" w:lineRule="exact"/>
        <w:ind w:firstLine="600"/>
      </w:pPr>
      <w:r>
        <w:t xml:space="preserve">график отпусков на 2025 г. по МБОУ «Клинская начальная общеобразовательная школа-детский сад» утвержден позднее, чем за две недели до наступления календарного года приказом «Об </w:t>
      </w:r>
      <w:r>
        <w:t>утверждении графика очередных отпусков» от 30.12.2024 №52, нарушение срока на 11 дней.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вышеуказанных приказах количество календарных дней планируемых отпусков отсутствует.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 xml:space="preserve">При выборочной проверке сроков выплаты заработной платы при увольнении работников </w:t>
      </w:r>
      <w:r>
        <w:t>(расчета при увольнении) установлены следующие нарушения: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274" w:lineRule="exact"/>
        <w:ind w:firstLine="600"/>
      </w:pPr>
      <w:r>
        <w:t xml:space="preserve">в нарушение статьи 140 Трудового кодекса РФ работнику </w:t>
      </w:r>
      <w:r>
        <w:rPr>
          <w:lang w:val="en-US" w:eastAsia="en-US" w:bidi="en-US"/>
        </w:rPr>
        <w:t>N</w:t>
      </w:r>
      <w:r w:rsidRPr="003913B4">
        <w:rPr>
          <w:lang w:eastAsia="en-US" w:bidi="en-US"/>
        </w:rPr>
        <w:t xml:space="preserve"> </w:t>
      </w:r>
      <w:r>
        <w:t>выдан расчет при увольнении с задержкой на 2 дня: дата увольнения - 15.09.2024, последний рабочий день по табелю - 16.09.2024, дата выдачи зар</w:t>
      </w:r>
      <w:r>
        <w:t>аботной платы 18.09.2024 (приказ о расторжении трудового договора от 13.09.2024 №55, реестр №44 от 17.09.2024, дата исполнения платежа по реестру - 18.09.2024, табель б/н от 30.09.2024).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Проверка соблюдения сроков выплаты отпускных показала, что в проверяе</w:t>
      </w:r>
      <w:r>
        <w:t>мом периоде основная часть отпусков оплачена с соблюдением норм, установленных ч. 9 ст. 136 Трудового кодекса РФ. Однако, в нарушение ч. 9 ст. 136 ТК РФ оплата отпуска произведена без соблюдения установленного срока, нарушение срока составило 1 день в след</w:t>
      </w:r>
      <w:r>
        <w:t>ующих случаях: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02"/>
        </w:tabs>
        <w:spacing w:before="0" w:after="0" w:line="274" w:lineRule="exact"/>
        <w:ind w:firstLine="600"/>
      </w:pPr>
      <w:r>
        <w:t xml:space="preserve">по приказу о предоставлении отпуска работнику </w:t>
      </w:r>
      <w:r>
        <w:rPr>
          <w:lang w:val="en-US" w:eastAsia="en-US" w:bidi="en-US"/>
        </w:rPr>
        <w:t>N</w:t>
      </w:r>
      <w:r w:rsidRPr="003913B4">
        <w:rPr>
          <w:lang w:eastAsia="en-US" w:bidi="en-US"/>
        </w:rPr>
        <w:t xml:space="preserve">1 </w:t>
      </w:r>
      <w:r>
        <w:t>от 26.07.2024 №8,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02"/>
        </w:tabs>
        <w:spacing w:before="0" w:after="0" w:line="274" w:lineRule="exact"/>
        <w:ind w:firstLine="600"/>
      </w:pPr>
      <w:r>
        <w:t xml:space="preserve">по приказу о предоставлении отпуска работнику </w:t>
      </w:r>
      <w:r>
        <w:rPr>
          <w:lang w:val="en-US" w:eastAsia="en-US" w:bidi="en-US"/>
        </w:rPr>
        <w:t>N</w:t>
      </w:r>
      <w:r w:rsidRPr="003913B4">
        <w:rPr>
          <w:lang w:eastAsia="en-US" w:bidi="en-US"/>
        </w:rPr>
        <w:t xml:space="preserve">2 </w:t>
      </w:r>
      <w:r>
        <w:t>от 26.05.2025 № 19,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02"/>
        </w:tabs>
        <w:spacing w:before="0" w:after="0" w:line="274" w:lineRule="exact"/>
        <w:ind w:firstLine="600"/>
      </w:pPr>
      <w:r>
        <w:t xml:space="preserve">по приказу о предоставлении отпуска работнику </w:t>
      </w:r>
      <w:r>
        <w:rPr>
          <w:lang w:val="en-US" w:eastAsia="en-US" w:bidi="en-US"/>
        </w:rPr>
        <w:t>N</w:t>
      </w:r>
      <w:r w:rsidRPr="003913B4">
        <w:rPr>
          <w:lang w:eastAsia="en-US" w:bidi="en-US"/>
        </w:rPr>
        <w:t xml:space="preserve">3 </w:t>
      </w:r>
      <w:r>
        <w:t>от 26.05.2025 №18.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Замечания по оформлению приказов о пр</w:t>
      </w:r>
      <w:r>
        <w:t>едоставлении отпуска работникам (приказы от</w:t>
      </w:r>
    </w:p>
    <w:p w:rsidR="003E4CA4" w:rsidRDefault="005F345C">
      <w:pPr>
        <w:pStyle w:val="23"/>
        <w:numPr>
          <w:ilvl w:val="0"/>
          <w:numId w:val="9"/>
        </w:numPr>
        <w:shd w:val="clear" w:color="auto" w:fill="auto"/>
        <w:tabs>
          <w:tab w:val="left" w:pos="1182"/>
        </w:tabs>
        <w:spacing w:before="0" w:after="0" w:line="274" w:lineRule="exact"/>
        <w:ind w:firstLine="0"/>
      </w:pPr>
      <w:r>
        <w:t>№3, от 14.06.2024 №4, от 14.06.2024 №5, от 26.07.2024 №6, от 26.07.2024 №8):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74" w:lineRule="exact"/>
        <w:ind w:firstLine="600"/>
      </w:pPr>
      <w:r>
        <w:t xml:space="preserve">отсутствуют обязательные реквизиты: должность, рабочий период сотрудника, за который ему предоставлен отпуск, а также отсутствует </w:t>
      </w:r>
      <w:r>
        <w:t>ознакомительная подпись работника с приказом;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02"/>
        </w:tabs>
        <w:spacing w:before="0" w:after="0" w:line="274" w:lineRule="exact"/>
        <w:ind w:firstLine="600"/>
      </w:pPr>
      <w:r>
        <w:t>отсутствует дата окончания отпуска (приказы от 14.06.2024 №5, от 26.07.2024 №6, от</w:t>
      </w:r>
    </w:p>
    <w:p w:rsidR="003E4CA4" w:rsidRDefault="005F345C">
      <w:pPr>
        <w:pStyle w:val="23"/>
        <w:numPr>
          <w:ilvl w:val="0"/>
          <w:numId w:val="10"/>
        </w:numPr>
        <w:shd w:val="clear" w:color="auto" w:fill="auto"/>
        <w:tabs>
          <w:tab w:val="left" w:pos="1206"/>
        </w:tabs>
        <w:spacing w:before="0" w:after="0" w:line="274" w:lineRule="exact"/>
        <w:ind w:firstLine="0"/>
        <w:jc w:val="left"/>
      </w:pPr>
      <w:r>
        <w:t>№8).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Замечания по оформлению табеля учета рабочего времени: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74" w:lineRule="exact"/>
        <w:ind w:firstLine="600"/>
      </w:pPr>
      <w:r>
        <w:t xml:space="preserve">в табелях по учету использования рабочего времени не заполняется </w:t>
      </w:r>
      <w:r>
        <w:t>раздел «Отметка бухгалтерии о принятии настоящего табеля» - должность, подпись исполнителя, расшифровка подписи, дата;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74" w:lineRule="exact"/>
        <w:ind w:firstLine="600"/>
      </w:pPr>
      <w:r>
        <w:lastRenderedPageBreak/>
        <w:t>не заполняются итоговые данные учета рабочего времени за первую половину месяца - графа 20 «Итого дней (часов) явок с 1 по 15).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Выборочна</w:t>
      </w:r>
      <w:r>
        <w:t xml:space="preserve">я проверка достоверности, полноты, размещенной на сайте </w:t>
      </w:r>
      <w:hyperlink r:id="rId7" w:history="1">
        <w:r>
          <w:rPr>
            <w:lang w:val="en-US" w:eastAsia="en-US" w:bidi="en-US"/>
          </w:rPr>
          <w:t>www</w:t>
        </w:r>
        <w:r w:rsidRPr="003913B4">
          <w:rPr>
            <w:lang w:eastAsia="en-US" w:bidi="en-US"/>
          </w:rPr>
          <w:t>.</w:t>
        </w:r>
        <w:r>
          <w:rPr>
            <w:lang w:val="en-US" w:eastAsia="en-US" w:bidi="en-US"/>
          </w:rPr>
          <w:t>bus</w:t>
        </w:r>
        <w:r w:rsidRPr="003913B4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3913B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3913B4">
        <w:rPr>
          <w:lang w:eastAsia="en-US" w:bidi="en-US"/>
        </w:rPr>
        <w:t xml:space="preserve"> </w:t>
      </w:r>
      <w:r>
        <w:t>информации и своевременности ее размещения, выявила следующие нарушения и несоответствия: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нарушение пункта 15 Приказа Министерства финансов Российс</w:t>
      </w:r>
      <w:r>
        <w:t>кой Федерации от 21.07.2011 №86н Учреждением размещены с нарушением установленного срока копии следующих документов: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274" w:lineRule="exact"/>
        <w:ind w:firstLine="600"/>
      </w:pPr>
      <w:r>
        <w:t xml:space="preserve">План финансово-хозяйственной деятельности на 2024 год и плановый период 2025 и 2026 годов и уточнения к нему в количестве 18 документов не </w:t>
      </w:r>
      <w:r>
        <w:t>размещены на сайте;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802"/>
        </w:tabs>
        <w:spacing w:before="0" w:after="0" w:line="274" w:lineRule="exact"/>
        <w:ind w:firstLine="600"/>
      </w:pPr>
      <w:r>
        <w:t>Муниципальное задание №1 на 2024 год и на плановый период 2025 и 2026 годов от</w:t>
      </w:r>
    </w:p>
    <w:p w:rsidR="003E4CA4" w:rsidRDefault="005F345C">
      <w:pPr>
        <w:pStyle w:val="23"/>
        <w:numPr>
          <w:ilvl w:val="0"/>
          <w:numId w:val="11"/>
        </w:numPr>
        <w:shd w:val="clear" w:color="auto" w:fill="auto"/>
        <w:tabs>
          <w:tab w:val="left" w:pos="1206"/>
        </w:tabs>
        <w:spacing w:before="0" w:after="0" w:line="274" w:lineRule="exact"/>
        <w:ind w:firstLine="0"/>
        <w:jc w:val="left"/>
      </w:pPr>
      <w:r>
        <w:t>года размещено на сайте 30.01.2024 - нарушение срока составило 14 дней;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274" w:lineRule="exact"/>
        <w:ind w:firstLine="600"/>
      </w:pPr>
      <w:r>
        <w:t xml:space="preserve">Формы бюджетной отчетности за 2024 год: Баланс (ф. 0503730, Отчет о финансовых </w:t>
      </w:r>
      <w:r>
        <w:t>результатах деятельности (ф. 0503721), Отчет об исполнении учреждением плана его финансово-хозяйственной деятельности (ф.0503737), дата утверждения 12.02.2025, размещены на сайте 14.03.2025 - нарушение срока составило 21 день.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Проверкой исполнения требован</w:t>
      </w:r>
      <w:r>
        <w:t>ий ст. 29 Закона об образовании выявлено, что официальный сайт Учреждения в целом обеспечивает открытость и доступность необходимой информации об образовательном учреждении и его деятельности. Вместе с тем, обнаружены следующие нарушения: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74" w:lineRule="exact"/>
        <w:ind w:firstLine="600"/>
      </w:pPr>
      <w:r>
        <w:t>в нарушение подп.</w:t>
      </w:r>
      <w:r>
        <w:t xml:space="preserve"> «г» п.2 ч.2 ст.29 изменения, внесенные в план ФХД на 2024 год и плановый период 2025 и 2026 годов, не размещались на официальном сайте Учреждения,</w:t>
      </w:r>
    </w:p>
    <w:p w:rsidR="003E4CA4" w:rsidRDefault="005F345C">
      <w:pPr>
        <w:pStyle w:val="23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274" w:lineRule="exact"/>
        <w:ind w:firstLine="600"/>
      </w:pPr>
      <w:r>
        <w:t>в нарушение подп. «г» п.2 ч.2 ст.29 изменения, внесенные в план ФХД на 2025 год и плановый период 2026 и 202</w:t>
      </w:r>
      <w:r>
        <w:t>7 годов, так же не размещены на официальном сайте Учреждения.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Объем проверенных средств бюджета составил 9192,1 тыс. рублей.</w:t>
      </w:r>
    </w:p>
    <w:p w:rsidR="003E4CA4" w:rsidRDefault="005F345C">
      <w:pPr>
        <w:pStyle w:val="23"/>
        <w:shd w:val="clear" w:color="auto" w:fill="auto"/>
        <w:spacing w:before="0" w:after="0" w:line="278" w:lineRule="exact"/>
        <w:ind w:firstLine="600"/>
      </w:pPr>
      <w:r>
        <w:t>По результатам проверки объекту контроля направлен акт с указанием выявленных нарушений. Предложения контрольно-счетной палаты прин</w:t>
      </w:r>
      <w:r>
        <w:t>яты к сведению, подлежащие исправлению, устранены.</w:t>
      </w:r>
    </w:p>
    <w:p w:rsidR="003E4CA4" w:rsidRDefault="005F345C">
      <w:pPr>
        <w:pStyle w:val="23"/>
        <w:numPr>
          <w:ilvl w:val="0"/>
          <w:numId w:val="5"/>
        </w:numPr>
        <w:shd w:val="clear" w:color="auto" w:fill="auto"/>
        <w:tabs>
          <w:tab w:val="left" w:pos="894"/>
        </w:tabs>
        <w:spacing w:before="0" w:after="0" w:line="274" w:lineRule="exact"/>
        <w:ind w:firstLine="600"/>
      </w:pPr>
      <w:r>
        <w:t>В отчетном периоде проведены две проверки годовой бухгалтерской отчетности за 2024 год: в Открытом акционерном обществе «Фармация» и Акционерном обществе «Вачский Торжок». В соответствии с полномочиями, оп</w:t>
      </w:r>
      <w:r>
        <w:t>ределенными Федеральным законом от 26.12.1995 № 208-ФЗ «Об акционерных обществах», целью проверки являлось осуществление оценки достоверности данных, содержащихся в годовой бухгалтерской отчетности обществ.</w:t>
      </w:r>
    </w:p>
    <w:p w:rsidR="003E4CA4" w:rsidRDefault="005F345C">
      <w:pPr>
        <w:pStyle w:val="23"/>
        <w:shd w:val="clear" w:color="auto" w:fill="auto"/>
        <w:spacing w:before="0" w:after="280" w:line="274" w:lineRule="exact"/>
        <w:ind w:firstLine="600"/>
      </w:pPr>
      <w:r>
        <w:t>Годовая отчетность акционерных обществ сформирова</w:t>
      </w:r>
      <w:r>
        <w:t>на в полном объеме, исходя из действующих в Российской Федерации правил составления и представления бухгалтерской отчетности. Чистая прибыль ОАО «Фармация» в 2024 году составила 76 тыс. рублей. На основании решения собрания акционеров от 30.06.2025 №29 в 2</w:t>
      </w:r>
      <w:r>
        <w:t>025 году в бюджет округа выплачено 38 тыс. рублей дивидендов по акциям.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left="3520"/>
        <w:jc w:val="left"/>
      </w:pPr>
      <w:r>
        <w:t>Основные нарушения и недостатки, выявленные в ходе контрольных и экспертно</w:t>
      </w:r>
      <w:r>
        <w:softHyphen/>
        <w:t>аналитических мероприятий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 xml:space="preserve">Нарушения при формировании плана финансово-хозяйственной деятельности - 7 </w:t>
      </w:r>
      <w:r>
        <w:t>нарушений.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Нарушения при осуществлении муниципальных закупок и закупок отдельными видами юридических лиц - 3 нарушения.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Нарушения при ведении бухгалтерского отчета и формировании отчетности - 12 нарушений.</w:t>
      </w:r>
      <w:r>
        <w:br w:type="page"/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left="600" w:firstLine="0"/>
      </w:pPr>
      <w:r>
        <w:lastRenderedPageBreak/>
        <w:t>Нарушения при начислении и выплате заработной пла</w:t>
      </w:r>
      <w:r>
        <w:t>ты - 6 нарушения.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Нарушение порядка размещения информации на официальных сайтах в сети интернет - 8 нарушений.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По результатам контрольных мероприятий двум объектам контроля направлено представление для рассмотрения и принятия мер по устранению выявленных н</w:t>
      </w:r>
      <w:r>
        <w:t>арушений и недостатков, а также мер по пресечению, устранению и предупреждению нарушений.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течение установленного срока объектами контроля представлена информация о проведенной работе по устранению нарушений и замечаний, выявленных в ходе проверок.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Информ</w:t>
      </w:r>
      <w:r>
        <w:t>ационная деятельность КСП заключается в информировании органов местного самоуправления и населения муниципального округа о результатах проведенных контрольных и экспертно-аналитических мероприятий. Копии актов проверок и заключений предоставлялись главе ме</w:t>
      </w:r>
      <w:r>
        <w:t>стного самоуправления и председателю Совета депутатов; экземпляр акта (заключения) - руководителям объектов контрольных мероприятий.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целях соблюдения принципа открытости, гласности и обеспечения доступа к информации о деятельности контрольно-счетной пала</w:t>
      </w:r>
      <w:r>
        <w:t>ты на официальном сайте Вачского муниципального округа в сети Интернет в разделе контрольно-счетная палата размещена информация о ее деятельности.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рамках своей деятельности и установленных полномочий контрольно-счетная палата взаимодействует с правоохран</w:t>
      </w:r>
      <w:r>
        <w:t>ительными органами власти, органами местного самоуправления округа и другими организациями. Также, с целью информационного обмена при осуществлении контроля за исполнением бюджетного законодательства действует Соглашение с Управлением федерального казначей</w:t>
      </w:r>
      <w:r>
        <w:t>ства по Нижегородской области.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Председатель контрольно-счетной палаты в 2025 году принимала участие в обучающих вебинарах, организуемых Советом контрольно-счетных органов при Счетной палате Российской Федерации.</w:t>
      </w:r>
    </w:p>
    <w:p w:rsidR="003E4CA4" w:rsidRDefault="005F345C">
      <w:pPr>
        <w:pStyle w:val="23"/>
        <w:shd w:val="clear" w:color="auto" w:fill="auto"/>
        <w:spacing w:before="0" w:after="0" w:line="274" w:lineRule="exact"/>
        <w:ind w:firstLine="600"/>
      </w:pPr>
      <w:r>
        <w:t>В течение отчетного года в Контрольно-счетну</w:t>
      </w:r>
      <w:r>
        <w:t>ю палату Нижегородской области по ее запросам направлялись отчеты о работе, информация по различным вопросам деятельности КСП. Осуществлялось взаимодействие с другими контрольно-счетными органами муниципальных округов области.</w:t>
      </w:r>
    </w:p>
    <w:p w:rsidR="003E4CA4" w:rsidRDefault="005F345C">
      <w:pPr>
        <w:pStyle w:val="23"/>
        <w:shd w:val="clear" w:color="auto" w:fill="auto"/>
        <w:spacing w:before="0" w:after="540" w:line="274" w:lineRule="exact"/>
        <w:ind w:firstLine="600"/>
      </w:pPr>
      <w:r>
        <w:t>Контрольно-счетная палата при</w:t>
      </w:r>
      <w:r>
        <w:t>нимала участие в заседаниях комиссии по экономике и бюджету Совета депутатов, в работе межведомственной комиссии по координации работы по противодействию коррупции в Вачском муниципальном округе, комиссии по назначению пенсии за выслугу лет муниципальным с</w:t>
      </w:r>
      <w:r>
        <w:t>лужащим.</w:t>
      </w:r>
    </w:p>
    <w:p w:rsidR="003E4CA4" w:rsidRDefault="003913B4">
      <w:pPr>
        <w:pStyle w:val="23"/>
        <w:shd w:val="clear" w:color="auto" w:fill="auto"/>
        <w:spacing w:before="0" w:after="0" w:line="274" w:lineRule="exact"/>
        <w:ind w:left="600" w:firstLine="0"/>
      </w:pPr>
      <w:r>
        <w:rPr>
          <w:noProof/>
          <w:lang w:bidi="ar-SA"/>
        </w:rPr>
        <mc:AlternateContent>
          <mc:Choice Requires="wps">
            <w:drawing>
              <wp:anchor distT="74930" distB="254000" distL="2246630" distR="63500" simplePos="0" relativeHeight="377487106" behindDoc="1" locked="0" layoutInCell="1" allowOverlap="1">
                <wp:simplePos x="0" y="0"/>
                <wp:positionH relativeFrom="margin">
                  <wp:posOffset>5401310</wp:posOffset>
                </wp:positionH>
                <wp:positionV relativeFrom="paragraph">
                  <wp:posOffset>123825</wp:posOffset>
                </wp:positionV>
                <wp:extent cx="734695" cy="168910"/>
                <wp:effectExtent l="3810" t="0" r="4445" b="381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CA4" w:rsidRDefault="005F345C">
                            <w:pPr>
                              <w:pStyle w:val="23"/>
                              <w:shd w:val="clear" w:color="auto" w:fill="auto"/>
                              <w:spacing w:before="0" w:after="0"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О.В. Бурак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5.3pt;margin-top:9.75pt;width:57.85pt;height:13.3pt;z-index:-125829374;visibility:visible;mso-wrap-style:square;mso-width-percent:0;mso-height-percent:0;mso-wrap-distance-left:176.9pt;mso-wrap-distance-top:5.9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lmrAIAAKg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" filled="f" stroked="f">
                <v:textbox style="mso-fit-shape-to-text:t" inset="0,0,0,0">
                  <w:txbxContent>
                    <w:p w:rsidR="003E4CA4" w:rsidRDefault="005F345C">
                      <w:pPr>
                        <w:pStyle w:val="23"/>
                        <w:shd w:val="clear" w:color="auto" w:fill="auto"/>
                        <w:spacing w:before="0" w:after="0" w:line="266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О.В. Бурак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F345C">
        <w:t>Председатель Контрольно-счетной палаты Вачского муниципального округа</w:t>
      </w:r>
    </w:p>
    <w:sectPr w:rsidR="003E4CA4">
      <w:pgSz w:w="11900" w:h="16840"/>
      <w:pgMar w:top="586" w:right="536" w:bottom="778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5C" w:rsidRDefault="005F345C">
      <w:r>
        <w:separator/>
      </w:r>
    </w:p>
  </w:endnote>
  <w:endnote w:type="continuationSeparator" w:id="0">
    <w:p w:rsidR="005F345C" w:rsidRDefault="005F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5C" w:rsidRDefault="005F345C"/>
  </w:footnote>
  <w:footnote w:type="continuationSeparator" w:id="0">
    <w:p w:rsidR="005F345C" w:rsidRDefault="005F34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7FB3"/>
    <w:multiLevelType w:val="multilevel"/>
    <w:tmpl w:val="81A037B2"/>
    <w:lvl w:ilvl="0">
      <w:start w:val="2024"/>
      <w:numFmt w:val="decimal"/>
      <w:lvlText w:val="0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86296"/>
    <w:multiLevelType w:val="multilevel"/>
    <w:tmpl w:val="BC20C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24359"/>
    <w:multiLevelType w:val="multilevel"/>
    <w:tmpl w:val="0074DA6A"/>
    <w:lvl w:ilvl="0">
      <w:start w:val="2024"/>
      <w:numFmt w:val="decimal"/>
      <w:lvlText w:val="2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6952D3"/>
    <w:multiLevelType w:val="multilevel"/>
    <w:tmpl w:val="7FCEA7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235DB9"/>
    <w:multiLevelType w:val="multilevel"/>
    <w:tmpl w:val="88AA4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BE6677"/>
    <w:multiLevelType w:val="multilevel"/>
    <w:tmpl w:val="49688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E6726B"/>
    <w:multiLevelType w:val="multilevel"/>
    <w:tmpl w:val="673C086E"/>
    <w:lvl w:ilvl="0">
      <w:start w:val="2024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EF4F81"/>
    <w:multiLevelType w:val="multilevel"/>
    <w:tmpl w:val="A04ACE2C"/>
    <w:lvl w:ilvl="0">
      <w:start w:val="2024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2F121F"/>
    <w:multiLevelType w:val="multilevel"/>
    <w:tmpl w:val="B10A8044"/>
    <w:lvl w:ilvl="0">
      <w:start w:val="2024"/>
      <w:numFmt w:val="decimal"/>
      <w:lvlText w:val="15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C72B97"/>
    <w:multiLevelType w:val="multilevel"/>
    <w:tmpl w:val="D58CDD90"/>
    <w:lvl w:ilvl="0">
      <w:start w:val="2024"/>
      <w:numFmt w:val="decimal"/>
      <w:lvlText w:val="14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F45A07"/>
    <w:multiLevelType w:val="multilevel"/>
    <w:tmpl w:val="F7F8ABEE"/>
    <w:lvl w:ilvl="0">
      <w:start w:val="2024"/>
      <w:numFmt w:val="decimal"/>
      <w:lvlText w:val="12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A4"/>
    <w:rsid w:val="003913B4"/>
    <w:rsid w:val="003E4CA4"/>
    <w:rsid w:val="005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58655-F730-49E4-A0BA-41B68471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80"/>
      <w:sz w:val="76"/>
      <w:szCs w:val="7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20" w:after="620" w:line="288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20"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20" w:after="100" w:line="926" w:lineRule="exact"/>
      <w:jc w:val="center"/>
      <w:outlineLvl w:val="0"/>
    </w:pPr>
    <w:rPr>
      <w:rFonts w:ascii="Impact" w:eastAsia="Impact" w:hAnsi="Impact" w:cs="Impact"/>
      <w:spacing w:val="80"/>
      <w:sz w:val="76"/>
      <w:szCs w:val="7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00" w:after="320" w:line="310" w:lineRule="exact"/>
      <w:ind w:firstLine="60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2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20" w:after="320" w:line="293" w:lineRule="exact"/>
      <w:ind w:hanging="240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20" w:after="320" w:line="288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3722</Words>
  <Characters>21218</Characters>
  <Application>Microsoft Office Word</Application>
  <DocSecurity>0</DocSecurity>
  <Lines>176</Lines>
  <Paragraphs>49</Paragraphs>
  <ScaleCrop>false</ScaleCrop>
  <Company/>
  <LinksUpToDate>false</LinksUpToDate>
  <CharactersWithSpaces>24891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BurakOV</dc:creator>
  <cp:keywords/>
  <cp:lastModifiedBy>BurakOV</cp:lastModifiedBy>
  <cp:revision>1</cp:revision>
  <dcterms:created xsi:type="dcterms:W3CDTF">2026-04-16T07:52:00Z</dcterms:created>
  <dcterms:modified xsi:type="dcterms:W3CDTF">2026-04-16T07:53:00Z</dcterms:modified>
</cp:coreProperties>
</file>